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17179" w14:textId="03AC35B9" w:rsidR="00F225BD" w:rsidRPr="00C01EC3" w:rsidRDefault="009F3E02" w:rsidP="00F225BD">
      <w:pPr>
        <w:jc w:val="center"/>
        <w:rPr>
          <w:rFonts w:asciiTheme="majorHAnsi" w:hAnsiTheme="majorHAnsi" w:cstheme="majorHAnsi"/>
          <w:b/>
          <w:sz w:val="22"/>
          <w:szCs w:val="22"/>
        </w:rPr>
      </w:pPr>
      <w:r>
        <w:rPr>
          <w:rFonts w:asciiTheme="majorHAnsi" w:hAnsiTheme="majorHAnsi" w:cstheme="majorHAnsi"/>
          <w:b/>
          <w:bCs/>
          <w:sz w:val="22"/>
          <w:szCs w:val="22"/>
        </w:rPr>
        <w:t xml:space="preserve">BORRADOR DEL </w:t>
      </w:r>
      <w:r w:rsidR="00F225BD" w:rsidRPr="00E5692A">
        <w:rPr>
          <w:rFonts w:asciiTheme="majorHAnsi" w:hAnsiTheme="majorHAnsi" w:cstheme="majorHAnsi"/>
          <w:b/>
          <w:bCs/>
          <w:sz w:val="22"/>
          <w:szCs w:val="22"/>
        </w:rPr>
        <w:t>DECRETO</w:t>
      </w:r>
      <w:r w:rsidR="00F225BD" w:rsidRPr="00C01EC3">
        <w:rPr>
          <w:rFonts w:asciiTheme="majorHAnsi" w:hAnsiTheme="majorHAnsi" w:cstheme="majorHAnsi"/>
          <w:b/>
          <w:sz w:val="22"/>
          <w:szCs w:val="22"/>
        </w:rPr>
        <w:t xml:space="preserve"> N</w:t>
      </w:r>
      <w:r w:rsidR="00F225BD">
        <w:rPr>
          <w:rFonts w:asciiTheme="majorHAnsi" w:hAnsiTheme="majorHAnsi" w:cstheme="majorHAnsi"/>
          <w:b/>
          <w:sz w:val="22"/>
          <w:szCs w:val="22"/>
        </w:rPr>
        <w:t>°.</w:t>
      </w:r>
      <w:r w:rsidR="00F225BD" w:rsidRPr="00C01EC3">
        <w:rPr>
          <w:rFonts w:asciiTheme="majorHAnsi" w:hAnsiTheme="majorHAnsi" w:cstheme="majorHAnsi"/>
          <w:b/>
          <w:sz w:val="22"/>
          <w:szCs w:val="22"/>
        </w:rPr>
        <w:t xml:space="preserve"> </w:t>
      </w:r>
    </w:p>
    <w:p w14:paraId="66FB3813" w14:textId="1466D5FA" w:rsidR="00F225BD" w:rsidRPr="00C01EC3" w:rsidRDefault="00F225BD" w:rsidP="00F225BD">
      <w:pPr>
        <w:jc w:val="center"/>
        <w:rPr>
          <w:rFonts w:asciiTheme="majorHAnsi" w:hAnsiTheme="majorHAnsi" w:cstheme="majorHAnsi"/>
          <w:b/>
          <w:sz w:val="22"/>
          <w:szCs w:val="22"/>
        </w:rPr>
      </w:pPr>
      <w:r w:rsidRPr="00E5692A">
        <w:rPr>
          <w:rFonts w:asciiTheme="majorHAnsi" w:hAnsiTheme="majorHAnsi" w:cstheme="majorHAnsi"/>
          <w:b/>
          <w:bCs/>
          <w:sz w:val="22"/>
          <w:szCs w:val="22"/>
        </w:rPr>
        <w:t>(</w:t>
      </w:r>
      <w:r w:rsidRPr="00F2609A">
        <w:rPr>
          <w:rFonts w:asciiTheme="majorHAnsi" w:hAnsiTheme="majorHAnsi" w:cstheme="majorHAnsi"/>
          <w:b/>
          <w:bCs/>
          <w:sz w:val="22"/>
          <w:szCs w:val="22"/>
        </w:rPr>
        <w:t xml:space="preserve">                                   </w:t>
      </w:r>
      <w:r w:rsidR="00587E8C">
        <w:rPr>
          <w:rFonts w:asciiTheme="majorHAnsi" w:hAnsiTheme="majorHAnsi" w:cstheme="majorHAnsi"/>
          <w:b/>
          <w:bCs/>
          <w:sz w:val="22"/>
          <w:szCs w:val="22"/>
        </w:rPr>
        <w:t xml:space="preserve">  </w:t>
      </w:r>
      <w:r w:rsidRPr="00F2609A">
        <w:rPr>
          <w:rFonts w:asciiTheme="majorHAnsi" w:hAnsiTheme="majorHAnsi" w:cstheme="majorHAnsi"/>
          <w:b/>
          <w:bCs/>
          <w:sz w:val="22"/>
          <w:szCs w:val="22"/>
        </w:rPr>
        <w:t xml:space="preserve">        </w:t>
      </w:r>
      <w:r>
        <w:rPr>
          <w:rFonts w:asciiTheme="majorHAnsi" w:hAnsiTheme="majorHAnsi" w:cstheme="majorHAnsi"/>
          <w:b/>
          <w:bCs/>
          <w:sz w:val="22"/>
          <w:szCs w:val="22"/>
        </w:rPr>
        <w:t xml:space="preserve"> </w:t>
      </w:r>
      <w:r w:rsidRPr="00F2609A">
        <w:rPr>
          <w:rFonts w:asciiTheme="majorHAnsi" w:hAnsiTheme="majorHAnsi" w:cstheme="majorHAnsi"/>
          <w:b/>
          <w:bCs/>
          <w:sz w:val="22"/>
          <w:szCs w:val="22"/>
        </w:rPr>
        <w:t xml:space="preserve">      )</w:t>
      </w:r>
    </w:p>
    <w:p w14:paraId="202A8CAF" w14:textId="7A6B10DB" w:rsidR="00FC7E72" w:rsidRPr="00414D03" w:rsidRDefault="00FC7E72" w:rsidP="008A7302">
      <w:pPr>
        <w:rPr>
          <w:rStyle w:val="nfasissutil"/>
          <w:rFonts w:ascii="Arial" w:hAnsi="Arial" w:cs="Arial"/>
          <w:i w:val="0"/>
          <w:iCs w:val="0"/>
          <w:color w:val="auto"/>
          <w:sz w:val="22"/>
          <w:szCs w:val="22"/>
        </w:rPr>
      </w:pPr>
    </w:p>
    <w:p w14:paraId="7A57DF1F" w14:textId="22219E8E" w:rsidR="00FA7380" w:rsidRDefault="00FA7380" w:rsidP="00587E8C">
      <w:pPr>
        <w:spacing w:before="100" w:beforeAutospacing="1" w:after="100" w:afterAutospacing="1"/>
        <w:jc w:val="center"/>
        <w:rPr>
          <w:b/>
          <w:bCs/>
          <w:sz w:val="22"/>
          <w:szCs w:val="22"/>
        </w:rPr>
      </w:pPr>
      <w:r w:rsidRPr="00587E8C">
        <w:rPr>
          <w:b/>
          <w:bCs/>
          <w:sz w:val="22"/>
          <w:szCs w:val="22"/>
        </w:rPr>
        <w:t>“POR MEDIO DEL CUAL SE CREA LA MESA TÉCNICA MUNICIPAL DE ENFERMEDADES HUÉRFANAS EN EL MUNICIPIO DE CAJICÁ – CUNDINAMARCA COMO INSTANCIA CONSULTIVA, DE COORDINACIÓN, ARTICULACIÓN INTERSECTORIAL Y SE ESTABLECEN LINEAMIENTOS PARA SU FUNCIONAMIENTO”</w:t>
      </w:r>
    </w:p>
    <w:p w14:paraId="73123C35" w14:textId="0061F8AD" w:rsidR="00F225BD" w:rsidRPr="00B41F39" w:rsidRDefault="00F225BD" w:rsidP="00F225BD">
      <w:pPr>
        <w:jc w:val="both"/>
        <w:rPr>
          <w:bCs/>
          <w:sz w:val="22"/>
          <w:szCs w:val="22"/>
        </w:rPr>
      </w:pPr>
      <w:r>
        <w:rPr>
          <w:bCs/>
          <w:sz w:val="22"/>
          <w:szCs w:val="22"/>
        </w:rPr>
        <w:t>La</w:t>
      </w:r>
      <w:r w:rsidRPr="002772C0">
        <w:rPr>
          <w:bCs/>
          <w:sz w:val="22"/>
          <w:szCs w:val="22"/>
        </w:rPr>
        <w:t xml:space="preserve"> Alcalde</w:t>
      </w:r>
      <w:r>
        <w:rPr>
          <w:bCs/>
          <w:sz w:val="22"/>
          <w:szCs w:val="22"/>
        </w:rPr>
        <w:t>sa</w:t>
      </w:r>
      <w:r w:rsidRPr="002772C0">
        <w:rPr>
          <w:bCs/>
          <w:sz w:val="22"/>
          <w:szCs w:val="22"/>
        </w:rPr>
        <w:t xml:space="preserve"> Municipal de Cajicá, Cundinamarca </w:t>
      </w:r>
      <w:r>
        <w:rPr>
          <w:bCs/>
          <w:sz w:val="22"/>
          <w:szCs w:val="22"/>
        </w:rPr>
        <w:t>e</w:t>
      </w:r>
      <w:r w:rsidRPr="002772C0">
        <w:rPr>
          <w:bCs/>
          <w:sz w:val="22"/>
          <w:szCs w:val="22"/>
        </w:rPr>
        <w:t xml:space="preserve">n uso de sus facultades constitucionales, legales y reglamentarias, especialmente las conferidas por la Constitución Política artículo 315, </w:t>
      </w:r>
      <w:r w:rsidR="000320C0">
        <w:rPr>
          <w:bCs/>
          <w:sz w:val="22"/>
          <w:szCs w:val="22"/>
        </w:rPr>
        <w:t>el</w:t>
      </w:r>
      <w:r w:rsidRPr="002772C0">
        <w:rPr>
          <w:bCs/>
          <w:sz w:val="22"/>
          <w:szCs w:val="22"/>
        </w:rPr>
        <w:t xml:space="preserve"> artículo 91 </w:t>
      </w:r>
      <w:r w:rsidR="000320C0">
        <w:rPr>
          <w:bCs/>
          <w:sz w:val="22"/>
          <w:szCs w:val="22"/>
        </w:rPr>
        <w:t xml:space="preserve">de la </w:t>
      </w:r>
      <w:r w:rsidRPr="002772C0">
        <w:rPr>
          <w:bCs/>
          <w:sz w:val="22"/>
          <w:szCs w:val="22"/>
        </w:rPr>
        <w:t xml:space="preserve">Ley 136 de </w:t>
      </w:r>
      <w:r w:rsidRPr="002B7B7B">
        <w:rPr>
          <w:bCs/>
          <w:sz w:val="22"/>
          <w:szCs w:val="22"/>
        </w:rPr>
        <w:t>199</w:t>
      </w:r>
      <w:r>
        <w:rPr>
          <w:bCs/>
          <w:sz w:val="22"/>
          <w:szCs w:val="22"/>
        </w:rPr>
        <w:t>4</w:t>
      </w:r>
      <w:r w:rsidRPr="003C6023">
        <w:rPr>
          <w:sz w:val="22"/>
          <w:szCs w:val="22"/>
          <w:shd w:val="clear" w:color="auto" w:fill="FFFFFF"/>
        </w:rPr>
        <w:t xml:space="preserve"> modificado por el </w:t>
      </w:r>
      <w:r w:rsidRPr="00587E8C">
        <w:rPr>
          <w:rStyle w:val="Hipervnculo"/>
          <w:color w:val="auto"/>
          <w:sz w:val="22"/>
          <w:szCs w:val="22"/>
          <w:u w:val="none"/>
          <w:shd w:val="clear" w:color="auto" w:fill="FFFFFF"/>
        </w:rPr>
        <w:t>artículo</w:t>
      </w:r>
      <w:r w:rsidRPr="00C01EC3">
        <w:rPr>
          <w:sz w:val="22"/>
          <w:szCs w:val="22"/>
          <w:shd w:val="clear" w:color="auto" w:fill="FFFFFF"/>
        </w:rPr>
        <w:t xml:space="preserve"> 29 de la</w:t>
      </w:r>
      <w:r w:rsidRPr="002B7B7B">
        <w:rPr>
          <w:sz w:val="22"/>
          <w:szCs w:val="22"/>
          <w:shd w:val="clear" w:color="auto" w:fill="FFFFFF"/>
        </w:rPr>
        <w:t xml:space="preserve"> L</w:t>
      </w:r>
      <w:r w:rsidRPr="00C01EC3">
        <w:rPr>
          <w:sz w:val="22"/>
          <w:szCs w:val="22"/>
          <w:shd w:val="clear" w:color="auto" w:fill="FFFFFF"/>
        </w:rPr>
        <w:t>ey 1551 de 2012</w:t>
      </w:r>
      <w:r>
        <w:rPr>
          <w:sz w:val="22"/>
          <w:szCs w:val="22"/>
          <w:shd w:val="clear" w:color="auto" w:fill="FFFFFF"/>
        </w:rPr>
        <w:t xml:space="preserve"> </w:t>
      </w:r>
      <w:r w:rsidRPr="002772C0">
        <w:rPr>
          <w:bCs/>
          <w:sz w:val="22"/>
          <w:szCs w:val="22"/>
        </w:rPr>
        <w:t>y</w:t>
      </w:r>
      <w:r w:rsidRPr="00C01EC3">
        <w:rPr>
          <w:sz w:val="22"/>
          <w:szCs w:val="22"/>
          <w:shd w:val="clear" w:color="auto" w:fill="FFFFFF"/>
        </w:rPr>
        <w:t>,</w:t>
      </w:r>
      <w:r w:rsidRPr="00C01EC3">
        <w:rPr>
          <w:rFonts w:ascii="Arial" w:hAnsi="Arial" w:cs="Arial"/>
          <w:sz w:val="25"/>
          <w:szCs w:val="25"/>
          <w:shd w:val="clear" w:color="auto" w:fill="FFFFFF"/>
        </w:rPr>
        <w:t xml:space="preserve"> </w:t>
      </w:r>
    </w:p>
    <w:p w14:paraId="4AEB15B5" w14:textId="02B02E8E" w:rsidR="00587E8C" w:rsidRPr="00587E8C" w:rsidRDefault="00090956" w:rsidP="00587E8C">
      <w:pPr>
        <w:spacing w:before="100" w:beforeAutospacing="1" w:after="100" w:afterAutospacing="1"/>
        <w:jc w:val="center"/>
        <w:rPr>
          <w:b/>
          <w:bCs/>
          <w:sz w:val="22"/>
          <w:szCs w:val="22"/>
        </w:rPr>
      </w:pPr>
      <w:r>
        <w:rPr>
          <w:b/>
          <w:bCs/>
          <w:sz w:val="22"/>
          <w:szCs w:val="22"/>
        </w:rPr>
        <w:t>CONSIDERANDO:</w:t>
      </w:r>
      <w:r w:rsidR="00ED7B3B">
        <w:rPr>
          <w:b/>
          <w:bCs/>
          <w:sz w:val="22"/>
          <w:szCs w:val="22"/>
        </w:rPr>
        <w:t xml:space="preserve"> </w:t>
      </w:r>
    </w:p>
    <w:p w14:paraId="1B62D0DA" w14:textId="2F99AC24" w:rsidR="00ED7B3B" w:rsidRDefault="0089134E" w:rsidP="0089134E">
      <w:pPr>
        <w:spacing w:before="100" w:beforeAutospacing="1" w:after="100" w:afterAutospacing="1"/>
        <w:jc w:val="both"/>
        <w:rPr>
          <w:sz w:val="22"/>
          <w:szCs w:val="22"/>
        </w:rPr>
      </w:pPr>
      <w:r w:rsidRPr="00587E8C">
        <w:rPr>
          <w:rFonts w:eastAsia="Times New Roman"/>
          <w:sz w:val="22"/>
          <w:szCs w:val="22"/>
          <w:lang w:eastAsia="es-MX"/>
        </w:rPr>
        <w:t>Que</w:t>
      </w:r>
      <w:r w:rsidR="00ED7B3B">
        <w:rPr>
          <w:rFonts w:eastAsia="Times New Roman"/>
          <w:sz w:val="22"/>
          <w:szCs w:val="22"/>
          <w:lang w:eastAsia="es-MX"/>
        </w:rPr>
        <w:t>,</w:t>
      </w:r>
      <w:r w:rsidRPr="00587E8C">
        <w:rPr>
          <w:rFonts w:eastAsia="Times New Roman"/>
          <w:sz w:val="22"/>
          <w:szCs w:val="22"/>
          <w:lang w:eastAsia="es-MX"/>
        </w:rPr>
        <w:t xml:space="preserve"> el artículo 2</w:t>
      </w:r>
      <w:r w:rsidR="00ED7B3B">
        <w:rPr>
          <w:rFonts w:eastAsia="Times New Roman"/>
          <w:sz w:val="22"/>
          <w:szCs w:val="22"/>
          <w:lang w:eastAsia="es-MX"/>
        </w:rPr>
        <w:t>°</w:t>
      </w:r>
      <w:r w:rsidRPr="00587E8C">
        <w:rPr>
          <w:rFonts w:eastAsia="Times New Roman"/>
          <w:sz w:val="22"/>
          <w:szCs w:val="22"/>
          <w:lang w:eastAsia="es-MX"/>
        </w:rPr>
        <w:t xml:space="preserve"> de la Constitución Política dispone que </w:t>
      </w:r>
      <w:r w:rsidRPr="00587E8C">
        <w:rPr>
          <w:rFonts w:eastAsia="Times New Roman"/>
          <w:i/>
          <w:sz w:val="22"/>
          <w:szCs w:val="22"/>
          <w:lang w:eastAsia="es-MX"/>
        </w:rPr>
        <w:t>“</w:t>
      </w:r>
      <w:r w:rsidRPr="00587E8C">
        <w:rPr>
          <w:i/>
          <w:sz w:val="22"/>
          <w:szCs w:val="22"/>
        </w:rPr>
        <w:t>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w:t>
      </w:r>
      <w:r w:rsidR="00ED7B3B">
        <w:rPr>
          <w:i/>
          <w:sz w:val="22"/>
          <w:szCs w:val="22"/>
        </w:rPr>
        <w:t>. (…)</w:t>
      </w:r>
      <w:r w:rsidRPr="00587E8C">
        <w:rPr>
          <w:i/>
          <w:sz w:val="22"/>
          <w:szCs w:val="22"/>
        </w:rPr>
        <w:t>"</w:t>
      </w:r>
      <w:r w:rsidRPr="00587E8C">
        <w:rPr>
          <w:sz w:val="22"/>
          <w:szCs w:val="22"/>
        </w:rPr>
        <w:t xml:space="preserve">. </w:t>
      </w:r>
    </w:p>
    <w:p w14:paraId="2A69521F" w14:textId="459D6B58" w:rsidR="006108ED" w:rsidRDefault="00BC79AD">
      <w:pPr>
        <w:spacing w:line="270" w:lineRule="atLeast"/>
        <w:jc w:val="both"/>
        <w:rPr>
          <w:i/>
          <w:sz w:val="22"/>
          <w:szCs w:val="22"/>
        </w:rPr>
      </w:pPr>
      <w:r w:rsidRPr="00C53CA4">
        <w:rPr>
          <w:sz w:val="22"/>
          <w:szCs w:val="22"/>
        </w:rPr>
        <w:t xml:space="preserve">Que, el </w:t>
      </w:r>
      <w:r w:rsidR="00033B6F" w:rsidRPr="00A76087">
        <w:rPr>
          <w:rFonts w:eastAsia="Times New Roman"/>
          <w:sz w:val="22"/>
          <w:szCs w:val="22"/>
          <w:lang w:eastAsia="es-MX"/>
        </w:rPr>
        <w:t>artículo</w:t>
      </w:r>
      <w:r w:rsidR="00033B6F" w:rsidRPr="00C53CA4" w:rsidDel="00033B6F">
        <w:rPr>
          <w:sz w:val="22"/>
          <w:szCs w:val="22"/>
        </w:rPr>
        <w:t xml:space="preserve"> </w:t>
      </w:r>
      <w:r w:rsidRPr="00C53CA4">
        <w:rPr>
          <w:sz w:val="22"/>
          <w:szCs w:val="22"/>
        </w:rPr>
        <w:t xml:space="preserve">13 </w:t>
      </w:r>
      <w:r>
        <w:rPr>
          <w:sz w:val="22"/>
          <w:szCs w:val="22"/>
        </w:rPr>
        <w:t xml:space="preserve">ibídem </w:t>
      </w:r>
      <w:r w:rsidRPr="00C53CA4">
        <w:rPr>
          <w:sz w:val="22"/>
          <w:szCs w:val="22"/>
        </w:rPr>
        <w:t xml:space="preserve">manifiesta: </w:t>
      </w:r>
      <w:r w:rsidRPr="00587E8C">
        <w:rPr>
          <w:i/>
          <w:sz w:val="22"/>
          <w:szCs w:val="22"/>
        </w:rPr>
        <w:t>“Todas las personas nacen libres e iguales ante la ley, recibirán la misma protección y trato de las autoridades y gozarán de los mismos derechos, libertades y oportunidades sin ninguna discriminación por razones de sexo, raza, origen nacional o familiar, lengua, religión, opinión política o filosófica. </w:t>
      </w:r>
    </w:p>
    <w:p w14:paraId="573B78A3" w14:textId="77777777" w:rsidR="007906B8" w:rsidRDefault="007906B8" w:rsidP="00587E8C">
      <w:pPr>
        <w:spacing w:line="270" w:lineRule="atLeast"/>
        <w:jc w:val="both"/>
        <w:rPr>
          <w:i/>
          <w:sz w:val="22"/>
          <w:szCs w:val="22"/>
        </w:rPr>
      </w:pPr>
    </w:p>
    <w:p w14:paraId="5FB8AC5F" w14:textId="77777777" w:rsidR="006108ED" w:rsidRDefault="006108ED">
      <w:pPr>
        <w:spacing w:line="270" w:lineRule="atLeast"/>
        <w:jc w:val="both"/>
        <w:rPr>
          <w:rFonts w:eastAsia="Times New Roman"/>
          <w:i/>
          <w:sz w:val="22"/>
          <w:szCs w:val="22"/>
          <w:lang w:eastAsia="es-MX"/>
        </w:rPr>
      </w:pPr>
      <w:r w:rsidRPr="00587E8C">
        <w:rPr>
          <w:rFonts w:eastAsia="Times New Roman"/>
          <w:i/>
          <w:sz w:val="22"/>
          <w:szCs w:val="22"/>
          <w:lang w:eastAsia="es-MX"/>
        </w:rPr>
        <w:t>El Estado promoverá las condiciones para que la igualdad sea real y efectiva y adoptará medidas en favor de grupos discriminados o marginados. </w:t>
      </w:r>
    </w:p>
    <w:p w14:paraId="28AFFC01" w14:textId="77777777" w:rsidR="007906B8" w:rsidRPr="00587E8C" w:rsidRDefault="007906B8" w:rsidP="00587E8C">
      <w:pPr>
        <w:spacing w:line="270" w:lineRule="atLeast"/>
        <w:jc w:val="both"/>
        <w:rPr>
          <w:rFonts w:eastAsia="Times New Roman"/>
          <w:i/>
          <w:sz w:val="22"/>
          <w:szCs w:val="22"/>
          <w:lang w:eastAsia="es-MX"/>
        </w:rPr>
      </w:pPr>
    </w:p>
    <w:p w14:paraId="289B8437" w14:textId="21CDD52F" w:rsidR="00BC79AD" w:rsidRDefault="006108ED">
      <w:pPr>
        <w:spacing w:line="270" w:lineRule="atLeast"/>
        <w:jc w:val="both"/>
        <w:rPr>
          <w:i/>
          <w:sz w:val="22"/>
          <w:szCs w:val="22"/>
        </w:rPr>
      </w:pPr>
      <w:r w:rsidRPr="00587E8C">
        <w:rPr>
          <w:rFonts w:eastAsia="Times New Roman"/>
          <w:i/>
          <w:sz w:val="22"/>
          <w:szCs w:val="22"/>
          <w:lang w:eastAsia="es-MX"/>
        </w:rPr>
        <w:t>El Estado protegerá especialmente a aquellas personas que por su condición económica, física o mental, se encuentren en circunstancia de debilidad manifiesta y sancionará los abusos o maltratos que contra ellas se cometan.</w:t>
      </w:r>
      <w:r w:rsidR="00BC79AD" w:rsidRPr="006108ED">
        <w:rPr>
          <w:i/>
          <w:sz w:val="22"/>
          <w:szCs w:val="22"/>
        </w:rPr>
        <w:t>”</w:t>
      </w:r>
    </w:p>
    <w:p w14:paraId="2F5BDFBF" w14:textId="77777777" w:rsidR="007906B8" w:rsidRPr="00587E8C" w:rsidRDefault="007906B8" w:rsidP="00587E8C">
      <w:pPr>
        <w:spacing w:line="270" w:lineRule="atLeast"/>
        <w:jc w:val="both"/>
        <w:rPr>
          <w:i/>
          <w:sz w:val="22"/>
          <w:szCs w:val="22"/>
        </w:rPr>
      </w:pPr>
    </w:p>
    <w:p w14:paraId="03AE1CB1" w14:textId="769965AF" w:rsidR="0089134E" w:rsidRDefault="0089134E">
      <w:pPr>
        <w:spacing w:line="270" w:lineRule="atLeast"/>
        <w:jc w:val="both"/>
        <w:rPr>
          <w:rFonts w:eastAsia="Times New Roman"/>
          <w:i/>
          <w:sz w:val="22"/>
          <w:szCs w:val="22"/>
          <w:lang w:eastAsia="es-MX"/>
        </w:rPr>
      </w:pPr>
      <w:r w:rsidRPr="00587E8C">
        <w:rPr>
          <w:rFonts w:eastAsia="Times New Roman"/>
          <w:sz w:val="22"/>
          <w:szCs w:val="22"/>
          <w:lang w:eastAsia="es-MX"/>
        </w:rPr>
        <w:t>Que, el art</w:t>
      </w:r>
      <w:r w:rsidR="006108ED">
        <w:rPr>
          <w:rFonts w:eastAsia="Times New Roman"/>
          <w:sz w:val="22"/>
          <w:szCs w:val="22"/>
          <w:lang w:eastAsia="es-MX"/>
        </w:rPr>
        <w:t>í</w:t>
      </w:r>
      <w:r w:rsidRPr="00587E8C">
        <w:rPr>
          <w:rFonts w:eastAsia="Times New Roman"/>
          <w:sz w:val="22"/>
          <w:szCs w:val="22"/>
          <w:lang w:eastAsia="es-MX"/>
        </w:rPr>
        <w:t xml:space="preserve">culo 44 </w:t>
      </w:r>
      <w:r w:rsidR="006108ED">
        <w:rPr>
          <w:rFonts w:eastAsia="Times New Roman"/>
          <w:sz w:val="22"/>
          <w:szCs w:val="22"/>
          <w:lang w:eastAsia="es-MX"/>
        </w:rPr>
        <w:t xml:space="preserve">constitucional </w:t>
      </w:r>
      <w:r w:rsidR="00BE17C8">
        <w:rPr>
          <w:rFonts w:eastAsia="Times New Roman"/>
          <w:sz w:val="22"/>
          <w:szCs w:val="22"/>
          <w:lang w:eastAsia="es-MX"/>
        </w:rPr>
        <w:t>estipula</w:t>
      </w:r>
      <w:r w:rsidRPr="00587E8C">
        <w:rPr>
          <w:rFonts w:eastAsia="Times New Roman"/>
          <w:sz w:val="22"/>
          <w:szCs w:val="22"/>
          <w:lang w:eastAsia="es-MX"/>
        </w:rPr>
        <w:t xml:space="preserve">: </w:t>
      </w:r>
      <w:r w:rsidRPr="00587E8C">
        <w:rPr>
          <w:rFonts w:eastAsia="Times New Roman"/>
          <w:i/>
          <w:sz w:val="22"/>
          <w:szCs w:val="22"/>
          <w:lang w:eastAsia="es-MX"/>
        </w:rPr>
        <w:t>Son derechos fundamentales de los niños: la vida, la integridad física, la salud y la seguridad social, la alimentación equilibrada, su nombre y nacionalidad, tener una familia y no ser separados de ella, el cuidado y amor, la educación y la cultura, la recreación y la libre expresión de su opinión. Serán protegidos contra toda forma de abandono, violencia física o moral, secuestro, venta, abuso sexual, explotación laboral o económica y trabajos riesgosos. Gozarán también de los demás derechos consagrados en la Constitución, en las leyes y en los tratados internacionales ratificados por Colombia. </w:t>
      </w:r>
    </w:p>
    <w:p w14:paraId="19B95E47" w14:textId="77777777" w:rsidR="007906B8" w:rsidRPr="00587E8C" w:rsidRDefault="007906B8" w:rsidP="00587E8C">
      <w:pPr>
        <w:spacing w:line="270" w:lineRule="atLeast"/>
        <w:jc w:val="both"/>
        <w:rPr>
          <w:rFonts w:eastAsia="Times New Roman"/>
          <w:i/>
          <w:sz w:val="22"/>
          <w:szCs w:val="22"/>
          <w:lang w:eastAsia="es-MX"/>
        </w:rPr>
      </w:pPr>
    </w:p>
    <w:p w14:paraId="498F591D" w14:textId="77777777" w:rsidR="0089134E" w:rsidRPr="00587E8C" w:rsidRDefault="0089134E" w:rsidP="00587E8C">
      <w:pPr>
        <w:spacing w:line="270" w:lineRule="atLeast"/>
        <w:jc w:val="both"/>
        <w:rPr>
          <w:rFonts w:eastAsia="Times New Roman"/>
          <w:i/>
          <w:sz w:val="22"/>
          <w:szCs w:val="22"/>
          <w:lang w:eastAsia="es-MX"/>
        </w:rPr>
      </w:pPr>
      <w:r w:rsidRPr="00587E8C">
        <w:rPr>
          <w:rFonts w:eastAsia="Times New Roman"/>
          <w:i/>
          <w:sz w:val="22"/>
          <w:szCs w:val="22"/>
          <w:lang w:eastAsia="es-MX"/>
        </w:rPr>
        <w:t>La familia, la sociedad y el Estado tienen la obligación de asistir y proteger al niño para garantizar su desarrollo armónico e integral y el ejercicio pleno de sus derechos. Cualquier persona puede exigir de la autoridad competente su cumplimiento y la sanción de los infractores. </w:t>
      </w:r>
    </w:p>
    <w:p w14:paraId="1B5A8AD3" w14:textId="77777777" w:rsidR="0089134E" w:rsidRPr="00587E8C" w:rsidRDefault="0089134E" w:rsidP="00587E8C">
      <w:pPr>
        <w:spacing w:line="270" w:lineRule="atLeast"/>
        <w:jc w:val="both"/>
        <w:rPr>
          <w:rFonts w:eastAsia="Times New Roman"/>
          <w:i/>
          <w:sz w:val="22"/>
          <w:szCs w:val="22"/>
          <w:lang w:eastAsia="es-MX"/>
        </w:rPr>
      </w:pPr>
      <w:r w:rsidRPr="00587E8C">
        <w:rPr>
          <w:rFonts w:eastAsia="Times New Roman"/>
          <w:i/>
          <w:sz w:val="22"/>
          <w:szCs w:val="22"/>
          <w:lang w:eastAsia="es-MX"/>
        </w:rPr>
        <w:t>Los derechos de los niños prevalecen sobre los derechos de los demás”.</w:t>
      </w:r>
    </w:p>
    <w:p w14:paraId="7B8C7998" w14:textId="2689D815" w:rsidR="0089134E" w:rsidRPr="00587E8C" w:rsidRDefault="0089134E" w:rsidP="0089134E">
      <w:pPr>
        <w:pStyle w:val="NormalWeb"/>
        <w:spacing w:line="270" w:lineRule="atLeast"/>
        <w:jc w:val="both"/>
        <w:rPr>
          <w:rFonts w:ascii="Calibri" w:hAnsi="Calibri" w:cs="Calibri"/>
          <w:sz w:val="22"/>
          <w:szCs w:val="22"/>
        </w:rPr>
      </w:pPr>
      <w:r w:rsidRPr="00587E8C">
        <w:rPr>
          <w:rFonts w:ascii="Calibri" w:hAnsi="Calibri" w:cs="Calibri"/>
          <w:sz w:val="22"/>
          <w:szCs w:val="22"/>
        </w:rPr>
        <w:t xml:space="preserve">Que, aunado a lo anterior, el artículo 47 </w:t>
      </w:r>
      <w:r w:rsidR="005B6D4B">
        <w:rPr>
          <w:rFonts w:ascii="Calibri" w:hAnsi="Calibri" w:cs="Calibri"/>
          <w:sz w:val="22"/>
          <w:szCs w:val="22"/>
        </w:rPr>
        <w:t>de la Constitución Política de Colombia señala que</w:t>
      </w:r>
      <w:r w:rsidR="000C7DD9" w:rsidRPr="000C7DD9">
        <w:rPr>
          <w:rFonts w:ascii="Calibri" w:hAnsi="Calibri" w:cs="Calibri"/>
          <w:sz w:val="22"/>
          <w:szCs w:val="22"/>
        </w:rPr>
        <w:t xml:space="preserve">de </w:t>
      </w:r>
      <w:r w:rsidR="000C7DD9" w:rsidRPr="00587E8C">
        <w:rPr>
          <w:rFonts w:ascii="Calibri" w:hAnsi="Calibri" w:cs="Calibri"/>
          <w:i/>
          <w:sz w:val="22"/>
          <w:szCs w:val="22"/>
        </w:rPr>
        <w:t>“</w:t>
      </w:r>
      <w:r w:rsidRPr="00587E8C">
        <w:rPr>
          <w:rFonts w:ascii="Calibri" w:hAnsi="Calibri" w:cs="Calibri"/>
          <w:i/>
          <w:sz w:val="22"/>
          <w:szCs w:val="22"/>
        </w:rPr>
        <w:t>El Estado adelantará una política de previsión, rehabilitación e integración social para los disminuidos físicos, sensoriales y psíquicos, a quienes se prestará la atención especializada que requieran”.</w:t>
      </w:r>
    </w:p>
    <w:p w14:paraId="5721BE38" w14:textId="218C69CF" w:rsidR="0089134E" w:rsidRDefault="0089134E" w:rsidP="00587E8C">
      <w:pPr>
        <w:pStyle w:val="NormalWeb"/>
        <w:spacing w:before="0" w:beforeAutospacing="0" w:after="0" w:afterAutospacing="0" w:line="270" w:lineRule="atLeast"/>
        <w:jc w:val="both"/>
        <w:rPr>
          <w:rFonts w:ascii="Calibri" w:hAnsi="Calibri" w:cs="Calibri"/>
          <w:i/>
          <w:sz w:val="22"/>
          <w:szCs w:val="22"/>
        </w:rPr>
      </w:pPr>
      <w:r w:rsidRPr="00587E8C">
        <w:rPr>
          <w:rFonts w:ascii="Calibri" w:hAnsi="Calibri" w:cs="Calibri"/>
          <w:sz w:val="22"/>
          <w:szCs w:val="22"/>
        </w:rPr>
        <w:t xml:space="preserve">Que, de igual forma en su </w:t>
      </w:r>
      <w:r w:rsidR="00033B6F" w:rsidRPr="00033B6F">
        <w:rPr>
          <w:rFonts w:ascii="Calibri" w:hAnsi="Calibri" w:cs="Calibri"/>
          <w:sz w:val="22"/>
          <w:szCs w:val="22"/>
        </w:rPr>
        <w:t>artículo</w:t>
      </w:r>
      <w:r w:rsidRPr="00587E8C">
        <w:rPr>
          <w:rFonts w:ascii="Calibri" w:hAnsi="Calibri" w:cs="Calibri"/>
          <w:sz w:val="22"/>
          <w:szCs w:val="22"/>
        </w:rPr>
        <w:t xml:space="preserve"> 49 </w:t>
      </w:r>
      <w:r w:rsidR="00AA3C9D">
        <w:rPr>
          <w:rFonts w:ascii="Calibri" w:hAnsi="Calibri" w:cs="Calibri"/>
          <w:sz w:val="22"/>
          <w:szCs w:val="22"/>
        </w:rPr>
        <w:t xml:space="preserve">ibídem </w:t>
      </w:r>
      <w:r w:rsidR="00AA3C9D" w:rsidRPr="00C5436E">
        <w:rPr>
          <w:rFonts w:ascii="Calibri" w:hAnsi="Calibri" w:cs="Calibri"/>
          <w:sz w:val="22"/>
          <w:szCs w:val="22"/>
        </w:rPr>
        <w:t>modificado por el artículo </w:t>
      </w:r>
      <w:hyperlink r:id="rId8" w:anchor="1" w:history="1">
        <w:r w:rsidR="00AA3C9D" w:rsidRPr="00C5436E">
          <w:rPr>
            <w:rFonts w:ascii="Calibri" w:hAnsi="Calibri" w:cs="Calibri"/>
            <w:sz w:val="22"/>
            <w:szCs w:val="22"/>
          </w:rPr>
          <w:t>1</w:t>
        </w:r>
      </w:hyperlink>
      <w:r w:rsidR="00AA3C9D">
        <w:rPr>
          <w:rFonts w:ascii="Calibri" w:hAnsi="Calibri" w:cs="Calibri"/>
          <w:sz w:val="22"/>
          <w:szCs w:val="22"/>
        </w:rPr>
        <w:t>°</w:t>
      </w:r>
      <w:r w:rsidR="00AA3C9D" w:rsidRPr="00C5436E">
        <w:rPr>
          <w:rFonts w:ascii="Calibri" w:hAnsi="Calibri" w:cs="Calibri"/>
          <w:sz w:val="22"/>
          <w:szCs w:val="22"/>
        </w:rPr>
        <w:t xml:space="preserve"> del Acto Legislativo 2 de 2009 </w:t>
      </w:r>
      <w:r w:rsidR="00AA3C9D">
        <w:rPr>
          <w:rFonts w:ascii="Calibri" w:hAnsi="Calibri" w:cs="Calibri"/>
          <w:sz w:val="22"/>
          <w:szCs w:val="22"/>
        </w:rPr>
        <w:t xml:space="preserve">establece </w:t>
      </w:r>
      <w:r w:rsidRPr="00587E8C">
        <w:rPr>
          <w:rFonts w:ascii="Calibri" w:hAnsi="Calibri" w:cs="Calibri"/>
          <w:sz w:val="22"/>
          <w:szCs w:val="22"/>
        </w:rPr>
        <w:t>lo siguiente: “</w:t>
      </w:r>
      <w:r w:rsidRPr="00587E8C">
        <w:rPr>
          <w:rFonts w:ascii="Calibri" w:hAnsi="Calibri" w:cs="Calibri"/>
          <w:i/>
          <w:sz w:val="22"/>
          <w:szCs w:val="22"/>
        </w:rPr>
        <w:t xml:space="preserve">La atención de la salud y el saneamiento ambiental son servicios </w:t>
      </w:r>
      <w:r w:rsidRPr="00587E8C">
        <w:rPr>
          <w:rFonts w:ascii="Calibri" w:hAnsi="Calibri" w:cs="Calibri"/>
          <w:i/>
          <w:sz w:val="22"/>
          <w:szCs w:val="22"/>
        </w:rPr>
        <w:lastRenderedPageBreak/>
        <w:t>públicos a cargo del Estado. Se garantiza a todas las personas el acceso a los servicios de promoción, protección y recuperación de la salud.</w:t>
      </w:r>
    </w:p>
    <w:p w14:paraId="22C3FCEC" w14:textId="77777777" w:rsidR="00587E8C" w:rsidRPr="00587E8C" w:rsidRDefault="00587E8C" w:rsidP="00587E8C">
      <w:pPr>
        <w:pStyle w:val="NormalWeb"/>
        <w:spacing w:before="0" w:beforeAutospacing="0" w:after="0" w:afterAutospacing="0" w:line="270" w:lineRule="atLeast"/>
        <w:jc w:val="both"/>
        <w:rPr>
          <w:rFonts w:ascii="Calibri" w:hAnsi="Calibri" w:cs="Calibri"/>
          <w:sz w:val="22"/>
          <w:szCs w:val="22"/>
        </w:rPr>
      </w:pPr>
    </w:p>
    <w:p w14:paraId="448B49E1" w14:textId="77777777" w:rsidR="0089134E" w:rsidRDefault="0089134E">
      <w:pPr>
        <w:spacing w:line="270" w:lineRule="atLeast"/>
        <w:jc w:val="both"/>
        <w:rPr>
          <w:rFonts w:eastAsia="Times New Roman"/>
          <w:i/>
          <w:sz w:val="22"/>
          <w:szCs w:val="22"/>
          <w:lang w:eastAsia="es-MX"/>
        </w:rPr>
      </w:pPr>
      <w:r w:rsidRPr="00587E8C">
        <w:rPr>
          <w:rFonts w:eastAsia="Times New Roman"/>
          <w:i/>
          <w:sz w:val="22"/>
          <w:szCs w:val="22"/>
          <w:lang w:eastAsia="es-MX"/>
        </w:rPr>
        <w:t>Corresponde al Estado organizar, dirigir y reglamentar la prestación de servicios de salud a los habitantes y de saneamiento ambiental conforme a los principios de eficiencia, universalidad y solidaridad. También, establecer las políticas para la prestación de servicios de salud por entidades privadas, y ejercer su vigilancia y control. Así mismo, establecer las competencias de la Nación, las entidades territoriales y los particulares y determinar los aportes a su cargo en los términos y condiciones señalados en la ley.</w:t>
      </w:r>
    </w:p>
    <w:p w14:paraId="7F0611AB" w14:textId="77777777" w:rsidR="007906B8" w:rsidRPr="00587E8C" w:rsidRDefault="007906B8" w:rsidP="00587E8C">
      <w:pPr>
        <w:spacing w:line="270" w:lineRule="atLeast"/>
        <w:jc w:val="both"/>
        <w:rPr>
          <w:rFonts w:eastAsia="Times New Roman"/>
          <w:i/>
          <w:sz w:val="22"/>
          <w:szCs w:val="22"/>
          <w:lang w:eastAsia="es-MX"/>
        </w:rPr>
      </w:pPr>
    </w:p>
    <w:p w14:paraId="2E9E06EB" w14:textId="77777777" w:rsidR="0089134E" w:rsidRDefault="0089134E">
      <w:pPr>
        <w:spacing w:line="270" w:lineRule="atLeast"/>
        <w:jc w:val="both"/>
        <w:rPr>
          <w:rFonts w:eastAsia="Times New Roman"/>
          <w:i/>
          <w:sz w:val="22"/>
          <w:szCs w:val="22"/>
          <w:lang w:eastAsia="es-MX"/>
        </w:rPr>
      </w:pPr>
      <w:r w:rsidRPr="00587E8C">
        <w:rPr>
          <w:rFonts w:eastAsia="Times New Roman"/>
          <w:i/>
          <w:sz w:val="22"/>
          <w:szCs w:val="22"/>
          <w:lang w:eastAsia="es-MX"/>
        </w:rPr>
        <w:t>Los servicios de salud se organizarán en forma descentralizada, por niveles de atención y con participación de la comunidad.</w:t>
      </w:r>
    </w:p>
    <w:p w14:paraId="3833AF0C" w14:textId="77777777" w:rsidR="007906B8" w:rsidRPr="00587E8C" w:rsidRDefault="007906B8" w:rsidP="00587E8C">
      <w:pPr>
        <w:spacing w:line="270" w:lineRule="atLeast"/>
        <w:jc w:val="both"/>
        <w:rPr>
          <w:rFonts w:eastAsia="Times New Roman"/>
          <w:i/>
          <w:sz w:val="22"/>
          <w:szCs w:val="22"/>
          <w:lang w:eastAsia="es-MX"/>
        </w:rPr>
      </w:pPr>
    </w:p>
    <w:p w14:paraId="7F7C3877" w14:textId="77777777" w:rsidR="0089134E" w:rsidRDefault="0089134E">
      <w:pPr>
        <w:spacing w:line="270" w:lineRule="atLeast"/>
        <w:jc w:val="both"/>
        <w:rPr>
          <w:rFonts w:eastAsia="Times New Roman"/>
          <w:i/>
          <w:sz w:val="22"/>
          <w:szCs w:val="22"/>
          <w:lang w:eastAsia="es-MX"/>
        </w:rPr>
      </w:pPr>
      <w:r w:rsidRPr="00587E8C">
        <w:rPr>
          <w:rFonts w:eastAsia="Times New Roman"/>
          <w:i/>
          <w:sz w:val="22"/>
          <w:szCs w:val="22"/>
          <w:lang w:eastAsia="es-MX"/>
        </w:rPr>
        <w:t>La ley señalará los términos en los cuales la atención básica para todos los habitantes será gratuita y obligatoria.</w:t>
      </w:r>
    </w:p>
    <w:p w14:paraId="17900728" w14:textId="5CC1C05E" w:rsidR="001129AF" w:rsidRDefault="001129AF" w:rsidP="00587E8C">
      <w:pPr>
        <w:spacing w:line="270" w:lineRule="atLeast"/>
        <w:jc w:val="both"/>
        <w:rPr>
          <w:rFonts w:eastAsia="Times New Roman"/>
          <w:i/>
          <w:sz w:val="22"/>
          <w:szCs w:val="22"/>
          <w:lang w:eastAsia="es-MX"/>
        </w:rPr>
      </w:pPr>
    </w:p>
    <w:p w14:paraId="0FFDBA08" w14:textId="48ABEA29" w:rsidR="001129AF" w:rsidRPr="00587E8C" w:rsidRDefault="001129AF" w:rsidP="00587E8C">
      <w:pPr>
        <w:jc w:val="both"/>
        <w:rPr>
          <w:rFonts w:eastAsia="Times New Roman"/>
          <w:sz w:val="22"/>
          <w:szCs w:val="22"/>
          <w:lang w:eastAsia="es-MX"/>
        </w:rPr>
      </w:pPr>
      <w:r w:rsidRPr="001129AF">
        <w:rPr>
          <w:rFonts w:eastAsia="Times New Roman"/>
          <w:sz w:val="22"/>
          <w:szCs w:val="22"/>
          <w:lang w:eastAsia="es-MX"/>
        </w:rPr>
        <w:t xml:space="preserve">Que el artículo 315 de la Constitución Política de Colombia consagra entre las atribuciones del alcalde </w:t>
      </w:r>
      <w:r>
        <w:rPr>
          <w:rFonts w:eastAsia="Times New Roman"/>
          <w:sz w:val="22"/>
          <w:szCs w:val="22"/>
          <w:lang w:eastAsia="es-MX"/>
        </w:rPr>
        <w:t xml:space="preserve">el </w:t>
      </w:r>
      <w:r w:rsidRPr="00587E8C">
        <w:rPr>
          <w:rFonts w:eastAsia="Times New Roman"/>
          <w:i/>
          <w:sz w:val="22"/>
          <w:szCs w:val="22"/>
          <w:lang w:eastAsia="es-MX"/>
        </w:rPr>
        <w:t>“</w:t>
      </w:r>
      <w:r w:rsidRPr="00587E8C">
        <w:rPr>
          <w:i/>
          <w:color w:val="000000"/>
          <w:sz w:val="22"/>
          <w:szCs w:val="22"/>
        </w:rPr>
        <w:t>Cumplir y hacer cumplir la Constitución, la ley, los decretos del gobierno, las ordenanzas, y los acuerdos del concejo.”</w:t>
      </w:r>
      <w:r w:rsidRPr="001129AF">
        <w:rPr>
          <w:rFonts w:ascii="Arial" w:hAnsi="Arial" w:cs="Arial"/>
          <w:color w:val="000000"/>
          <w:sz w:val="21"/>
          <w:szCs w:val="21"/>
        </w:rPr>
        <w:t> </w:t>
      </w:r>
    </w:p>
    <w:p w14:paraId="53C0822D" w14:textId="77777777" w:rsidR="007E60F5" w:rsidRPr="00587E8C" w:rsidRDefault="007E60F5" w:rsidP="00587E8C">
      <w:pPr>
        <w:spacing w:line="270" w:lineRule="atLeast"/>
        <w:jc w:val="both"/>
        <w:rPr>
          <w:rFonts w:eastAsia="Times New Roman"/>
          <w:sz w:val="22"/>
          <w:szCs w:val="22"/>
          <w:lang w:eastAsia="es-MX"/>
        </w:rPr>
      </w:pPr>
    </w:p>
    <w:p w14:paraId="6F66EC92" w14:textId="5DA7ABF1" w:rsidR="0089134E" w:rsidRPr="00587E8C" w:rsidRDefault="0089134E" w:rsidP="00587E8C">
      <w:pPr>
        <w:pStyle w:val="NormalWeb"/>
        <w:spacing w:before="0" w:beforeAutospacing="0" w:after="0" w:afterAutospacing="0" w:line="270" w:lineRule="atLeast"/>
        <w:jc w:val="both"/>
        <w:rPr>
          <w:rFonts w:ascii="Calibri" w:hAnsi="Calibri" w:cs="Calibri"/>
          <w:i/>
          <w:sz w:val="22"/>
          <w:szCs w:val="22"/>
        </w:rPr>
      </w:pPr>
      <w:r w:rsidRPr="00587E8C">
        <w:rPr>
          <w:rFonts w:ascii="Calibri" w:hAnsi="Calibri" w:cs="Calibri"/>
          <w:sz w:val="22"/>
          <w:szCs w:val="22"/>
        </w:rPr>
        <w:t xml:space="preserve">Que, el </w:t>
      </w:r>
      <w:r w:rsidR="00033B6F" w:rsidRPr="00A76087">
        <w:rPr>
          <w:rFonts w:ascii="Calibri" w:hAnsi="Calibri" w:cs="Calibri"/>
          <w:sz w:val="22"/>
          <w:szCs w:val="22"/>
        </w:rPr>
        <w:t>artículo</w:t>
      </w:r>
      <w:r w:rsidRPr="00587E8C">
        <w:rPr>
          <w:rFonts w:ascii="Calibri" w:hAnsi="Calibri" w:cs="Calibri"/>
          <w:sz w:val="22"/>
          <w:szCs w:val="22"/>
        </w:rPr>
        <w:t xml:space="preserve"> 366 </w:t>
      </w:r>
      <w:r w:rsidR="00033B6F" w:rsidRPr="00033B6F">
        <w:rPr>
          <w:rFonts w:ascii="Calibri" w:hAnsi="Calibri" w:cs="Calibri"/>
          <w:sz w:val="22"/>
          <w:szCs w:val="22"/>
        </w:rPr>
        <w:t>ibídem</w:t>
      </w:r>
      <w:r w:rsidRPr="00587E8C">
        <w:rPr>
          <w:rFonts w:ascii="Calibri" w:hAnsi="Calibri" w:cs="Calibri"/>
          <w:sz w:val="22"/>
          <w:szCs w:val="22"/>
        </w:rPr>
        <w:t xml:space="preserve">, establece: </w:t>
      </w:r>
      <w:r w:rsidRPr="00587E8C">
        <w:rPr>
          <w:rFonts w:ascii="Calibri" w:hAnsi="Calibri" w:cs="Calibri"/>
          <w:i/>
          <w:sz w:val="22"/>
          <w:szCs w:val="22"/>
        </w:rPr>
        <w:t>“El bienestar general y el mejoramiento de la calidad de vida de la población son finalidades sociales del Estado. Será objetivo fundamental de su actividad la solución de las necesidades insatisfechas de salud, de educación, de saneamiento ambiental y de agua potable.</w:t>
      </w:r>
      <w:r w:rsidRPr="00587E8C">
        <w:rPr>
          <w:rStyle w:val="apple-converted-space"/>
          <w:rFonts w:ascii="Calibri" w:eastAsiaTheme="majorEastAsia" w:hAnsi="Calibri" w:cs="Calibri"/>
          <w:i/>
          <w:sz w:val="22"/>
          <w:szCs w:val="22"/>
        </w:rPr>
        <w:t> </w:t>
      </w:r>
    </w:p>
    <w:p w14:paraId="5A8E9C6A" w14:textId="3D38C1D7" w:rsidR="0089134E" w:rsidRDefault="0089134E" w:rsidP="00587E8C">
      <w:pPr>
        <w:pStyle w:val="NormalWeb"/>
        <w:spacing w:before="0" w:beforeAutospacing="0" w:after="0" w:afterAutospacing="0"/>
        <w:jc w:val="both"/>
        <w:rPr>
          <w:rFonts w:ascii="Calibri" w:hAnsi="Calibri" w:cs="Calibri"/>
          <w:i/>
          <w:sz w:val="22"/>
          <w:szCs w:val="22"/>
        </w:rPr>
      </w:pPr>
      <w:r w:rsidRPr="00587E8C">
        <w:rPr>
          <w:rFonts w:ascii="Calibri" w:hAnsi="Calibri" w:cs="Calibri"/>
          <w:i/>
          <w:sz w:val="22"/>
          <w:szCs w:val="22"/>
        </w:rPr>
        <w:t>Para tales efectos, en los planes y presupuestos de la Nación y de las entidades territoriales, el gasto público social tendrá prioridad sobre cualquier otra asignación”.</w:t>
      </w:r>
    </w:p>
    <w:p w14:paraId="049F3263" w14:textId="51A89FFD" w:rsidR="007E60F5" w:rsidRPr="007E60F5" w:rsidRDefault="007E60F5" w:rsidP="007E60F5">
      <w:pPr>
        <w:pStyle w:val="p1"/>
        <w:jc w:val="both"/>
        <w:rPr>
          <w:rFonts w:ascii="Calibri" w:hAnsi="Calibri" w:cs="Calibri"/>
          <w:sz w:val="22"/>
          <w:szCs w:val="22"/>
        </w:rPr>
      </w:pPr>
      <w:r w:rsidRPr="007E60F5">
        <w:rPr>
          <w:rFonts w:ascii="Calibri" w:hAnsi="Calibri" w:cs="Calibri"/>
          <w:sz w:val="22"/>
          <w:szCs w:val="22"/>
        </w:rPr>
        <w:t xml:space="preserve">Por su parte, </w:t>
      </w:r>
      <w:r w:rsidRPr="00587E8C">
        <w:rPr>
          <w:rFonts w:ascii="Calibri" w:hAnsi="Calibri" w:cs="Calibri"/>
          <w:bCs/>
          <w:sz w:val="22"/>
          <w:szCs w:val="22"/>
        </w:rPr>
        <w:t>el artículo 91 de la Ley 136 de 1994</w:t>
      </w:r>
      <w:r w:rsidRPr="00587E8C">
        <w:rPr>
          <w:rFonts w:ascii="Calibri" w:hAnsi="Calibri" w:cs="Calibri"/>
          <w:sz w:val="22"/>
          <w:szCs w:val="22"/>
          <w:shd w:val="clear" w:color="auto" w:fill="FFFFFF"/>
        </w:rPr>
        <w:t xml:space="preserve"> modificado por el </w:t>
      </w:r>
      <w:r w:rsidRPr="00587E8C">
        <w:rPr>
          <w:rStyle w:val="Hipervnculo"/>
          <w:rFonts w:ascii="Calibri" w:hAnsi="Calibri" w:cs="Calibri"/>
          <w:color w:val="auto"/>
          <w:sz w:val="22"/>
          <w:szCs w:val="22"/>
          <w:shd w:val="clear" w:color="auto" w:fill="FFFFFF"/>
        </w:rPr>
        <w:t>artículo</w:t>
      </w:r>
      <w:r w:rsidRPr="00587E8C">
        <w:rPr>
          <w:rFonts w:ascii="Calibri" w:hAnsi="Calibri" w:cs="Calibri"/>
          <w:sz w:val="22"/>
          <w:szCs w:val="22"/>
          <w:shd w:val="clear" w:color="auto" w:fill="FFFFFF"/>
        </w:rPr>
        <w:t xml:space="preserve"> 29 de la Ley 1551 de 2012</w:t>
      </w:r>
      <w:r>
        <w:rPr>
          <w:rFonts w:ascii="Calibri" w:hAnsi="Calibri" w:cs="Calibri"/>
          <w:sz w:val="22"/>
          <w:szCs w:val="22"/>
          <w:shd w:val="clear" w:color="auto" w:fill="FFFFFF"/>
        </w:rPr>
        <w:t xml:space="preserve"> determina</w:t>
      </w:r>
      <w:r w:rsidRPr="007E60F5">
        <w:rPr>
          <w:rFonts w:ascii="Calibri" w:hAnsi="Calibri" w:cs="Calibri"/>
          <w:sz w:val="22"/>
          <w:szCs w:val="22"/>
          <w:shd w:val="clear" w:color="auto" w:fill="FFFFFF"/>
        </w:rPr>
        <w:t xml:space="preserve"> las funciones de los alcaldes como directores de la acción administrativa en el municipio, confiriéndoles la facultad de dictar medidas orientadas a la buena marcha de la administración local y la garantía del bienestar de la población</w:t>
      </w:r>
      <w:r>
        <w:rPr>
          <w:rFonts w:ascii="Calibri" w:hAnsi="Calibri" w:cs="Calibri"/>
          <w:sz w:val="22"/>
          <w:szCs w:val="22"/>
          <w:shd w:val="clear" w:color="auto" w:fill="FFFFFF"/>
        </w:rPr>
        <w:t>.</w:t>
      </w:r>
    </w:p>
    <w:p w14:paraId="2C13869F" w14:textId="063043A1" w:rsidR="0089134E" w:rsidRPr="00587E8C" w:rsidRDefault="0089134E" w:rsidP="007E60F5">
      <w:pPr>
        <w:pStyle w:val="p1"/>
        <w:jc w:val="both"/>
        <w:rPr>
          <w:rFonts w:ascii="Calibri" w:hAnsi="Calibri" w:cs="Calibri"/>
          <w:sz w:val="22"/>
          <w:szCs w:val="22"/>
        </w:rPr>
      </w:pPr>
      <w:r w:rsidRPr="00587E8C">
        <w:rPr>
          <w:rFonts w:ascii="Calibri" w:hAnsi="Calibri" w:cs="Calibri"/>
          <w:sz w:val="22"/>
          <w:szCs w:val="22"/>
        </w:rPr>
        <w:t>Que, en el ordenamiento jurídico colombiano, la regulación de las enfermedades huérfanas o raras ha sido objeto de un desarrollo progresivo, sistemático y coherente, orientado a garantizar la protección integral de los pacientes, sus familias y cuidadores, bajo un enfoque de derecho fundamental a la salud.</w:t>
      </w:r>
    </w:p>
    <w:p w14:paraId="127577BF" w14:textId="23E6DC1A" w:rsidR="007B6694" w:rsidRPr="00A76087" w:rsidRDefault="007B6694" w:rsidP="007B6694">
      <w:pPr>
        <w:pStyle w:val="p1"/>
        <w:jc w:val="both"/>
        <w:rPr>
          <w:rFonts w:ascii="Calibri" w:hAnsi="Calibri" w:cs="Calibri"/>
          <w:sz w:val="22"/>
          <w:szCs w:val="22"/>
        </w:rPr>
      </w:pPr>
      <w:r w:rsidRPr="00A76087">
        <w:rPr>
          <w:rFonts w:ascii="Calibri" w:hAnsi="Calibri" w:cs="Calibri"/>
          <w:sz w:val="22"/>
          <w:szCs w:val="22"/>
        </w:rPr>
        <w:t xml:space="preserve">Que, la </w:t>
      </w:r>
      <w:r w:rsidRPr="00AD6119">
        <w:rPr>
          <w:rFonts w:ascii="Calibri" w:hAnsi="Calibri" w:cs="Calibri"/>
          <w:sz w:val="22"/>
          <w:szCs w:val="22"/>
        </w:rPr>
        <w:t>L</w:t>
      </w:r>
      <w:r w:rsidRPr="00A76087">
        <w:rPr>
          <w:rFonts w:ascii="Calibri" w:hAnsi="Calibri" w:cs="Calibri"/>
          <w:sz w:val="22"/>
          <w:szCs w:val="22"/>
        </w:rPr>
        <w:t>ey 1098 de 2006</w:t>
      </w:r>
      <w:r>
        <w:rPr>
          <w:rFonts w:ascii="Calibri" w:hAnsi="Calibri" w:cs="Calibri"/>
          <w:sz w:val="22"/>
          <w:szCs w:val="22"/>
        </w:rPr>
        <w:t xml:space="preserve"> “</w:t>
      </w:r>
      <w:r w:rsidRPr="00AD6119">
        <w:rPr>
          <w:rFonts w:ascii="Calibri" w:hAnsi="Calibri" w:cs="Calibri"/>
          <w:sz w:val="22"/>
          <w:szCs w:val="22"/>
        </w:rPr>
        <w:t>P</w:t>
      </w:r>
      <w:r w:rsidRPr="00A76087">
        <w:rPr>
          <w:rFonts w:ascii="Calibri" w:hAnsi="Calibri" w:cs="Calibri"/>
          <w:sz w:val="22"/>
          <w:szCs w:val="22"/>
        </w:rPr>
        <w:t>or la cual se expide el Código de la Infancia y la Adolescencia”, en su artículo 41 ordena: “</w:t>
      </w:r>
      <w:r w:rsidRPr="00587E8C">
        <w:rPr>
          <w:rFonts w:ascii="Calibri" w:hAnsi="Calibri" w:cs="Calibri"/>
          <w:i/>
          <w:sz w:val="22"/>
          <w:szCs w:val="22"/>
        </w:rPr>
        <w:t>Obligaciones del Estado. El Estado es el contexto institucional en el desarrollo integral de los niños, las niñas y los adolescentes. (…)</w:t>
      </w:r>
      <w:r>
        <w:rPr>
          <w:rFonts w:ascii="Calibri" w:hAnsi="Calibri" w:cs="Calibri"/>
          <w:sz w:val="22"/>
          <w:szCs w:val="22"/>
        </w:rPr>
        <w:t xml:space="preserve">”, allí se listan las obligaciones propias del </w:t>
      </w:r>
      <w:r w:rsidRPr="00A76087">
        <w:rPr>
          <w:rFonts w:ascii="Calibri" w:hAnsi="Calibri" w:cs="Calibri"/>
          <w:sz w:val="22"/>
          <w:szCs w:val="22"/>
        </w:rPr>
        <w:t xml:space="preserve">cumplimiento de </w:t>
      </w:r>
      <w:r>
        <w:rPr>
          <w:rFonts w:ascii="Calibri" w:hAnsi="Calibri" w:cs="Calibri"/>
          <w:sz w:val="22"/>
          <w:szCs w:val="22"/>
        </w:rPr>
        <w:t>la</w:t>
      </w:r>
      <w:r w:rsidRPr="00A76087">
        <w:rPr>
          <w:rFonts w:ascii="Calibri" w:hAnsi="Calibri" w:cs="Calibri"/>
          <w:sz w:val="22"/>
          <w:szCs w:val="22"/>
        </w:rPr>
        <w:t>s funciones en los niveles nacional, departamental, distrital y municipal.</w:t>
      </w:r>
    </w:p>
    <w:p w14:paraId="3F7F98CD" w14:textId="77777777" w:rsidR="007B6694" w:rsidRPr="00A76087" w:rsidRDefault="007B6694" w:rsidP="007B6694">
      <w:pPr>
        <w:pStyle w:val="p1"/>
        <w:jc w:val="both"/>
        <w:rPr>
          <w:rFonts w:ascii="Calibri" w:hAnsi="Calibri" w:cs="Calibri"/>
          <w:sz w:val="22"/>
          <w:szCs w:val="22"/>
        </w:rPr>
      </w:pPr>
      <w:r w:rsidRPr="00A76087">
        <w:rPr>
          <w:rFonts w:ascii="Calibri" w:hAnsi="Calibri" w:cs="Calibri"/>
          <w:sz w:val="22"/>
          <w:szCs w:val="22"/>
        </w:rPr>
        <w:t xml:space="preserve">Que, se </w:t>
      </w:r>
      <w:r>
        <w:rPr>
          <w:rFonts w:ascii="Calibri" w:hAnsi="Calibri" w:cs="Calibri"/>
          <w:sz w:val="22"/>
          <w:szCs w:val="22"/>
        </w:rPr>
        <w:t>expidi</w:t>
      </w:r>
      <w:r w:rsidRPr="00A76087">
        <w:rPr>
          <w:rFonts w:ascii="Calibri" w:hAnsi="Calibri" w:cs="Calibri"/>
          <w:sz w:val="22"/>
          <w:szCs w:val="22"/>
        </w:rPr>
        <w:t>ó la Ley 1346 de 2009 “</w:t>
      </w:r>
      <w:r w:rsidRPr="00A76087">
        <w:rPr>
          <w:rFonts w:ascii="Calibri" w:hAnsi="Calibri" w:cs="Calibri"/>
          <w:sz w:val="22"/>
          <w:szCs w:val="22"/>
          <w:shd w:val="clear" w:color="auto" w:fill="FFFFFF"/>
        </w:rPr>
        <w:t xml:space="preserve">Por medio de la cual se aprueba la "Convención sobre los Derechos de las personas con Discapacidad", adoptada por la Asamblea General de la Naciones Unidas el 13 de diciembre de 2006”, </w:t>
      </w:r>
      <w:r w:rsidRPr="00A0258D">
        <w:rPr>
          <w:rFonts w:ascii="Calibri" w:hAnsi="Calibri" w:cs="Calibri"/>
          <w:sz w:val="22"/>
          <w:szCs w:val="22"/>
          <w:shd w:val="clear" w:color="auto" w:fill="FFFFFF"/>
        </w:rPr>
        <w:t>b</w:t>
      </w:r>
      <w:r w:rsidRPr="00A76087">
        <w:rPr>
          <w:rFonts w:ascii="Calibri" w:hAnsi="Calibri" w:cs="Calibri"/>
          <w:sz w:val="22"/>
          <w:szCs w:val="22"/>
          <w:shd w:val="clear" w:color="auto" w:fill="FFFFFF"/>
        </w:rPr>
        <w:t>uscando garantizar la inclusión y un efectivo y eficaz acceso a la atención de salud en condiciones iguales para todas las personas que buscan un acceso a la salud.</w:t>
      </w:r>
    </w:p>
    <w:p w14:paraId="1D15D614" w14:textId="77777777" w:rsidR="007B6694" w:rsidRPr="00A76087" w:rsidRDefault="007B6694" w:rsidP="007B6694">
      <w:pPr>
        <w:pStyle w:val="p1"/>
        <w:jc w:val="both"/>
        <w:rPr>
          <w:rFonts w:ascii="Calibri" w:hAnsi="Calibri" w:cs="Calibri"/>
          <w:sz w:val="22"/>
          <w:szCs w:val="22"/>
        </w:rPr>
      </w:pPr>
      <w:r w:rsidRPr="00A76087">
        <w:rPr>
          <w:rFonts w:ascii="Calibri" w:hAnsi="Calibri" w:cs="Calibri"/>
          <w:sz w:val="22"/>
          <w:szCs w:val="22"/>
        </w:rPr>
        <w:t xml:space="preserve">Que, un avance significativo se produjo con la expedición de la </w:t>
      </w:r>
      <w:r w:rsidRPr="00A76087">
        <w:rPr>
          <w:rStyle w:val="s1"/>
          <w:rFonts w:ascii="Calibri" w:eastAsiaTheme="majorEastAsia" w:hAnsi="Calibri" w:cs="Calibri"/>
          <w:sz w:val="22"/>
          <w:szCs w:val="22"/>
        </w:rPr>
        <w:t>Ley 1392 de 2010</w:t>
      </w:r>
      <w:r w:rsidRPr="00A76087">
        <w:rPr>
          <w:rFonts w:ascii="Calibri" w:hAnsi="Calibri" w:cs="Calibri"/>
          <w:sz w:val="22"/>
          <w:szCs w:val="22"/>
        </w:rPr>
        <w:t xml:space="preserve">, modificada por la </w:t>
      </w:r>
      <w:r w:rsidRPr="00A76087">
        <w:rPr>
          <w:rStyle w:val="s1"/>
          <w:rFonts w:ascii="Calibri" w:eastAsiaTheme="majorEastAsia" w:hAnsi="Calibri" w:cs="Calibri"/>
          <w:sz w:val="22"/>
          <w:szCs w:val="22"/>
        </w:rPr>
        <w:t>Ley 1438 de 2011</w:t>
      </w:r>
      <w:r w:rsidRPr="00A76087">
        <w:rPr>
          <w:rFonts w:ascii="Calibri" w:hAnsi="Calibri" w:cs="Calibri"/>
          <w:sz w:val="22"/>
          <w:szCs w:val="22"/>
        </w:rPr>
        <w:t>, mediante las cuales se reconocieron a las enfermedades huérfanas como de especial interés en salud pública, estableciendo la obligación del Estado de garantizar la protección social integral de quienes las padecen, así como de sus cuidadores y familias.</w:t>
      </w:r>
    </w:p>
    <w:p w14:paraId="69C27C6E" w14:textId="26125A98" w:rsidR="007B6694" w:rsidRDefault="007B6694" w:rsidP="007B6694">
      <w:pPr>
        <w:pStyle w:val="p1"/>
        <w:jc w:val="both"/>
        <w:rPr>
          <w:rFonts w:ascii="Calibri" w:hAnsi="Calibri" w:cs="Calibri"/>
          <w:sz w:val="22"/>
          <w:szCs w:val="22"/>
        </w:rPr>
      </w:pPr>
      <w:r w:rsidRPr="00A76087">
        <w:rPr>
          <w:rFonts w:ascii="Calibri" w:hAnsi="Calibri" w:cs="Calibri"/>
          <w:sz w:val="22"/>
          <w:szCs w:val="22"/>
        </w:rPr>
        <w:t xml:space="preserve">Que, en desarrollo de dicho marco legal, el </w:t>
      </w:r>
      <w:r w:rsidRPr="00A76087">
        <w:rPr>
          <w:rStyle w:val="s1"/>
          <w:rFonts w:ascii="Calibri" w:eastAsiaTheme="majorEastAsia" w:hAnsi="Calibri" w:cs="Calibri"/>
          <w:sz w:val="22"/>
          <w:szCs w:val="22"/>
        </w:rPr>
        <w:t>Decreto 1954 de 2012</w:t>
      </w:r>
      <w:r w:rsidRPr="00A76087">
        <w:rPr>
          <w:rFonts w:ascii="Calibri" w:hAnsi="Calibri" w:cs="Calibri"/>
          <w:sz w:val="22"/>
          <w:szCs w:val="22"/>
        </w:rPr>
        <w:t xml:space="preserve">, posteriormente compilado en el </w:t>
      </w:r>
      <w:r w:rsidRPr="00A76087">
        <w:rPr>
          <w:rStyle w:val="s1"/>
          <w:rFonts w:ascii="Calibri" w:eastAsiaTheme="majorEastAsia" w:hAnsi="Calibri" w:cs="Calibri"/>
          <w:sz w:val="22"/>
          <w:szCs w:val="22"/>
        </w:rPr>
        <w:t>Decreto 780 de 2016</w:t>
      </w:r>
      <w:r w:rsidRPr="00A76087">
        <w:rPr>
          <w:rFonts w:ascii="Calibri" w:hAnsi="Calibri" w:cs="Calibri"/>
          <w:sz w:val="22"/>
          <w:szCs w:val="22"/>
        </w:rPr>
        <w:t xml:space="preserve">, se dispuso la implementación de un sistema de información de pacientes con </w:t>
      </w:r>
      <w:r w:rsidRPr="00A76087">
        <w:rPr>
          <w:rFonts w:ascii="Calibri" w:hAnsi="Calibri" w:cs="Calibri"/>
          <w:sz w:val="22"/>
          <w:szCs w:val="22"/>
        </w:rPr>
        <w:lastRenderedPageBreak/>
        <w:t>enfermedades huérfanas, con el propósito de generar datos confiables sobre incidencia, prevalencia y mortalidad, permitiendo la adecuada planeación de los servicios en salud y la optimización de recursos.</w:t>
      </w:r>
    </w:p>
    <w:p w14:paraId="731D2A68" w14:textId="77777777" w:rsidR="007B6694" w:rsidRPr="00A76087" w:rsidRDefault="007B6694" w:rsidP="007B6694">
      <w:pPr>
        <w:pStyle w:val="p1"/>
        <w:jc w:val="both"/>
        <w:rPr>
          <w:rFonts w:ascii="Calibri" w:hAnsi="Calibri" w:cs="Calibri"/>
          <w:sz w:val="22"/>
          <w:szCs w:val="22"/>
        </w:rPr>
      </w:pPr>
      <w:r w:rsidRPr="00A76087">
        <w:rPr>
          <w:rFonts w:ascii="Calibri" w:hAnsi="Calibri" w:cs="Calibri"/>
          <w:sz w:val="22"/>
          <w:szCs w:val="22"/>
        </w:rPr>
        <w:t xml:space="preserve">Que, en el ámbito del derecho fundamental a la salud, la </w:t>
      </w:r>
      <w:r w:rsidRPr="00A76087">
        <w:rPr>
          <w:rStyle w:val="s1"/>
          <w:rFonts w:ascii="Calibri" w:eastAsiaTheme="majorEastAsia" w:hAnsi="Calibri" w:cs="Calibri"/>
          <w:sz w:val="22"/>
          <w:szCs w:val="22"/>
        </w:rPr>
        <w:t>Ley 1751 de 2015</w:t>
      </w:r>
      <w:r w:rsidRPr="00A76087">
        <w:rPr>
          <w:rFonts w:ascii="Calibri" w:hAnsi="Calibri" w:cs="Calibri"/>
          <w:sz w:val="22"/>
          <w:szCs w:val="22"/>
        </w:rPr>
        <w:t>, en su artículo 15 parágrafo 3°, consagró expresamente que los criterios de exclusión en la financiación de servicios y tecnologías no podrán afectar el acceso a tratamientos para personas que padecen enfermedades huérfanas, reforzando así su carácter de sujetos de especial protección constitucional.</w:t>
      </w:r>
    </w:p>
    <w:p w14:paraId="3974F13B" w14:textId="77777777" w:rsidR="007B6694" w:rsidRPr="00A76087" w:rsidRDefault="007B6694" w:rsidP="007B6694">
      <w:pPr>
        <w:pStyle w:val="p1"/>
        <w:jc w:val="both"/>
        <w:rPr>
          <w:rFonts w:ascii="Calibri" w:hAnsi="Calibri" w:cs="Calibri"/>
          <w:sz w:val="22"/>
          <w:szCs w:val="22"/>
        </w:rPr>
      </w:pPr>
      <w:r w:rsidRPr="00A76087">
        <w:rPr>
          <w:rFonts w:ascii="Calibri" w:hAnsi="Calibri" w:cs="Calibri"/>
          <w:sz w:val="22"/>
          <w:szCs w:val="22"/>
        </w:rPr>
        <w:t xml:space="preserve">Que, en materia de vigilancia epidemiológica, el </w:t>
      </w:r>
      <w:r w:rsidRPr="00A76087">
        <w:rPr>
          <w:rStyle w:val="s1"/>
          <w:rFonts w:ascii="Calibri" w:eastAsiaTheme="majorEastAsia" w:hAnsi="Calibri" w:cs="Calibri"/>
          <w:sz w:val="22"/>
          <w:szCs w:val="22"/>
        </w:rPr>
        <w:t>Sistema de Vigilancia en Salud Pública (SIVIGILA)</w:t>
      </w:r>
      <w:r w:rsidRPr="00A76087">
        <w:rPr>
          <w:rFonts w:ascii="Calibri" w:hAnsi="Calibri" w:cs="Calibri"/>
          <w:sz w:val="22"/>
          <w:szCs w:val="22"/>
        </w:rPr>
        <w:t xml:space="preserve">, reglamentado en el </w:t>
      </w:r>
      <w:r w:rsidRPr="00A76087">
        <w:rPr>
          <w:rStyle w:val="s1"/>
          <w:rFonts w:ascii="Calibri" w:eastAsiaTheme="majorEastAsia" w:hAnsi="Calibri" w:cs="Calibri"/>
          <w:sz w:val="22"/>
          <w:szCs w:val="22"/>
        </w:rPr>
        <w:t>Decreto 780 de 2016</w:t>
      </w:r>
      <w:r w:rsidRPr="00A76087">
        <w:rPr>
          <w:rFonts w:ascii="Calibri" w:hAnsi="Calibri" w:cs="Calibri"/>
          <w:sz w:val="22"/>
          <w:szCs w:val="22"/>
        </w:rPr>
        <w:t>, constituye el mecanismo institucional para el monitoreo sistemático de estos eventos en salud, permitiendo orientar las políticas públicas y la toma de decisiones.</w:t>
      </w:r>
    </w:p>
    <w:p w14:paraId="1C9B50C7" w14:textId="77777777" w:rsidR="007B6694" w:rsidRPr="00A76087" w:rsidRDefault="007B6694" w:rsidP="007B6694">
      <w:pPr>
        <w:pStyle w:val="p1"/>
        <w:jc w:val="both"/>
        <w:rPr>
          <w:rFonts w:ascii="Calibri" w:hAnsi="Calibri" w:cs="Calibri"/>
          <w:sz w:val="22"/>
          <w:szCs w:val="22"/>
        </w:rPr>
      </w:pPr>
      <w:r w:rsidRPr="00A76087">
        <w:rPr>
          <w:rFonts w:ascii="Calibri" w:hAnsi="Calibri" w:cs="Calibri"/>
          <w:sz w:val="22"/>
          <w:szCs w:val="22"/>
        </w:rPr>
        <w:t xml:space="preserve">Que, en el mismo año, la </w:t>
      </w:r>
      <w:r w:rsidRPr="00A76087">
        <w:rPr>
          <w:rStyle w:val="s1"/>
          <w:rFonts w:ascii="Calibri" w:eastAsiaTheme="majorEastAsia" w:hAnsi="Calibri" w:cs="Calibri"/>
          <w:sz w:val="22"/>
          <w:szCs w:val="22"/>
        </w:rPr>
        <w:t>Ley 1980 de 2019</w:t>
      </w:r>
      <w:r w:rsidRPr="00A76087">
        <w:rPr>
          <w:rFonts w:ascii="Calibri" w:hAnsi="Calibri" w:cs="Calibri"/>
          <w:sz w:val="22"/>
          <w:szCs w:val="22"/>
        </w:rPr>
        <w:t xml:space="preserve"> fortaleció el programa de tamizaje neonatal en Colombia, ampliando su alcance y cobertura como herramienta fundamental de detección temprana.</w:t>
      </w:r>
    </w:p>
    <w:p w14:paraId="0D76AE46" w14:textId="77777777" w:rsidR="007B6694" w:rsidRPr="00A76087" w:rsidRDefault="007B6694" w:rsidP="007B6694">
      <w:pPr>
        <w:pStyle w:val="p1"/>
        <w:jc w:val="both"/>
        <w:rPr>
          <w:rFonts w:ascii="Calibri" w:hAnsi="Calibri" w:cs="Calibri"/>
          <w:sz w:val="22"/>
          <w:szCs w:val="22"/>
        </w:rPr>
      </w:pPr>
      <w:r w:rsidRPr="00A76087">
        <w:rPr>
          <w:rFonts w:ascii="Calibri" w:hAnsi="Calibri" w:cs="Calibri"/>
          <w:sz w:val="22"/>
          <w:szCs w:val="22"/>
        </w:rPr>
        <w:t xml:space="preserve">Que, en el ámbito de la garantía de derechos y protección social, la </w:t>
      </w:r>
      <w:r w:rsidRPr="00A76087">
        <w:rPr>
          <w:rStyle w:val="s1"/>
          <w:rFonts w:ascii="Calibri" w:eastAsiaTheme="majorEastAsia" w:hAnsi="Calibri" w:cs="Calibri"/>
          <w:sz w:val="22"/>
          <w:szCs w:val="22"/>
        </w:rPr>
        <w:t>Ley 2297 de 2023</w:t>
      </w:r>
      <w:r w:rsidRPr="00A76087">
        <w:rPr>
          <w:rFonts w:ascii="Calibri" w:hAnsi="Calibri" w:cs="Calibri"/>
          <w:sz w:val="22"/>
          <w:szCs w:val="22"/>
        </w:rPr>
        <w:t xml:space="preserve"> avanzó en el reconocimiento de la autonomía de las personas con discapacidad y sus cuidadores, bajo un enfoque de derechos humanos, lo cual resulta plenamente aplicable a los pacientes con enfermedades huérfanas.</w:t>
      </w:r>
    </w:p>
    <w:p w14:paraId="04203BC3" w14:textId="5E198E40" w:rsidR="0089134E" w:rsidRPr="00634903" w:rsidRDefault="0089134E" w:rsidP="0089134E">
      <w:pPr>
        <w:pStyle w:val="p1"/>
        <w:jc w:val="both"/>
        <w:rPr>
          <w:rFonts w:ascii="Calibri" w:hAnsi="Calibri" w:cs="Calibri"/>
          <w:sz w:val="22"/>
          <w:szCs w:val="22"/>
        </w:rPr>
      </w:pPr>
      <w:r w:rsidRPr="00607124">
        <w:rPr>
          <w:rFonts w:ascii="Calibri" w:hAnsi="Calibri" w:cs="Calibri"/>
          <w:sz w:val="22"/>
          <w:szCs w:val="22"/>
        </w:rPr>
        <w:t xml:space="preserve">Que, en primer lugar, mediante </w:t>
      </w:r>
      <w:r w:rsidR="007906B8" w:rsidRPr="00607124">
        <w:rPr>
          <w:rFonts w:ascii="Calibri" w:hAnsi="Calibri" w:cs="Calibri"/>
          <w:sz w:val="22"/>
          <w:szCs w:val="22"/>
        </w:rPr>
        <w:t xml:space="preserve">el </w:t>
      </w:r>
      <w:r w:rsidR="00587E8C" w:rsidRPr="00607124">
        <w:rPr>
          <w:rFonts w:ascii="Calibri" w:hAnsi="Calibri" w:cs="Calibri"/>
          <w:sz w:val="22"/>
          <w:szCs w:val="22"/>
        </w:rPr>
        <w:t>artículo</w:t>
      </w:r>
      <w:r w:rsidR="007906B8" w:rsidRPr="00607124">
        <w:rPr>
          <w:rFonts w:ascii="Calibri" w:hAnsi="Calibri" w:cs="Calibri"/>
          <w:sz w:val="22"/>
          <w:szCs w:val="22"/>
        </w:rPr>
        <w:t xml:space="preserve"> 7 de la </w:t>
      </w:r>
      <w:r w:rsidR="003258D8" w:rsidRPr="00607124">
        <w:rPr>
          <w:rFonts w:ascii="Calibri" w:hAnsi="Calibri" w:cs="Calibri"/>
          <w:sz w:val="22"/>
          <w:szCs w:val="22"/>
        </w:rPr>
        <w:t xml:space="preserve">Resolución N.° </w:t>
      </w:r>
      <w:r w:rsidR="007906B8" w:rsidRPr="00607124">
        <w:rPr>
          <w:rFonts w:ascii="Calibri" w:hAnsi="Calibri" w:cs="Calibri"/>
          <w:sz w:val="22"/>
          <w:szCs w:val="22"/>
        </w:rPr>
        <w:t>3280 de 2018</w:t>
      </w:r>
      <w:r w:rsidR="003258D8" w:rsidRPr="00607124">
        <w:rPr>
          <w:rFonts w:ascii="Calibri" w:hAnsi="Calibri" w:cs="Calibri"/>
          <w:sz w:val="22"/>
          <w:szCs w:val="22"/>
        </w:rPr>
        <w:t xml:space="preserve"> </w:t>
      </w:r>
      <w:r w:rsidRPr="00607124">
        <w:rPr>
          <w:rFonts w:ascii="Calibri" w:hAnsi="Calibri" w:cs="Calibri"/>
          <w:sz w:val="22"/>
          <w:szCs w:val="22"/>
        </w:rPr>
        <w:t>,</w:t>
      </w:r>
      <w:r w:rsidR="007906B8" w:rsidRPr="00607124">
        <w:rPr>
          <w:rFonts w:ascii="Calibri" w:hAnsi="Calibri" w:cs="Calibri"/>
          <w:sz w:val="22"/>
          <w:szCs w:val="22"/>
        </w:rPr>
        <w:t xml:space="preserve"> por medio del cual se adoptan los lineamientos técnicos y operativos de la Ruta Integral de Atención para la Promoción y Mantenimiento de la Salud y la Ruta integral de Atención en Salud para la Población Materno Perinatal y se establecen las directrices para su operación, esta norma tiene por objeto la </w:t>
      </w:r>
      <w:r w:rsidR="00A21DF2" w:rsidRPr="00607124">
        <w:rPr>
          <w:rFonts w:ascii="Calibri" w:hAnsi="Calibri" w:cs="Calibri"/>
          <w:sz w:val="22"/>
          <w:szCs w:val="22"/>
        </w:rPr>
        <w:t xml:space="preserve">implementación de los diferentes lineamientos para que se promueva la ruta de atención integral en salud para la población materno perinatal.  </w:t>
      </w:r>
      <w:r w:rsidR="007906B8" w:rsidRPr="00607124">
        <w:rPr>
          <w:rFonts w:ascii="Calibri" w:hAnsi="Calibri" w:cs="Calibri"/>
          <w:sz w:val="22"/>
          <w:szCs w:val="22"/>
        </w:rPr>
        <w:t xml:space="preserve"> </w:t>
      </w:r>
    </w:p>
    <w:p w14:paraId="63A14B94" w14:textId="77777777" w:rsidR="0089134E" w:rsidRPr="00634903" w:rsidRDefault="0089134E" w:rsidP="0089134E">
      <w:pPr>
        <w:pStyle w:val="p1"/>
        <w:jc w:val="both"/>
        <w:rPr>
          <w:rFonts w:ascii="Calibri" w:hAnsi="Calibri" w:cs="Calibri"/>
          <w:sz w:val="22"/>
          <w:szCs w:val="22"/>
        </w:rPr>
      </w:pPr>
      <w:r w:rsidRPr="00634903">
        <w:rPr>
          <w:rFonts w:ascii="Calibri" w:hAnsi="Calibri" w:cs="Calibri"/>
          <w:sz w:val="22"/>
          <w:szCs w:val="22"/>
        </w:rPr>
        <w:t xml:space="preserve">Que, posteriormente, la </w:t>
      </w:r>
      <w:r w:rsidRPr="00634903">
        <w:rPr>
          <w:rStyle w:val="s1"/>
          <w:rFonts w:ascii="Calibri" w:eastAsiaTheme="majorEastAsia" w:hAnsi="Calibri" w:cs="Calibri"/>
          <w:sz w:val="22"/>
          <w:szCs w:val="22"/>
        </w:rPr>
        <w:t>Resolución 1895 de 2001</w:t>
      </w:r>
      <w:r w:rsidRPr="00634903">
        <w:rPr>
          <w:rFonts w:ascii="Calibri" w:hAnsi="Calibri" w:cs="Calibri"/>
          <w:sz w:val="22"/>
          <w:szCs w:val="22"/>
        </w:rPr>
        <w:t xml:space="preserve"> adoptó la Décima Revisión de la Clasificación Internacional de Enfermedades (CIE-10) como estándar nacional para la codificación de morbilidad, herramienta esencial para la identificación, clasificación y seguimiento epidemiológico de las enfermedades huérfanas.</w:t>
      </w:r>
    </w:p>
    <w:p w14:paraId="3AD9CD34" w14:textId="77777777" w:rsidR="0089134E" w:rsidRPr="00607124" w:rsidRDefault="0089134E" w:rsidP="0089134E">
      <w:pPr>
        <w:pStyle w:val="p1"/>
        <w:jc w:val="both"/>
        <w:rPr>
          <w:rFonts w:ascii="Calibri" w:hAnsi="Calibri" w:cs="Calibri"/>
          <w:sz w:val="22"/>
          <w:szCs w:val="22"/>
        </w:rPr>
      </w:pPr>
      <w:r w:rsidRPr="00607124">
        <w:rPr>
          <w:rFonts w:ascii="Calibri" w:hAnsi="Calibri" w:cs="Calibri"/>
          <w:sz w:val="22"/>
          <w:szCs w:val="22"/>
        </w:rPr>
        <w:t xml:space="preserve">Que, en desarrollo de lo anterior, la </w:t>
      </w:r>
      <w:r w:rsidRPr="00607124">
        <w:rPr>
          <w:rStyle w:val="s1"/>
          <w:rFonts w:ascii="Calibri" w:eastAsiaTheme="majorEastAsia" w:hAnsi="Calibri" w:cs="Calibri"/>
          <w:sz w:val="22"/>
          <w:szCs w:val="22"/>
        </w:rPr>
        <w:t>Resolución 0000651 de 2018</w:t>
      </w:r>
      <w:r w:rsidRPr="00607124">
        <w:rPr>
          <w:rFonts w:ascii="Calibri" w:hAnsi="Calibri" w:cs="Calibri"/>
          <w:sz w:val="22"/>
          <w:szCs w:val="22"/>
        </w:rPr>
        <w:t xml:space="preserve"> estableció las condiciones de habilitación de centros de referencia para el diagnóstico, tratamiento y atención integral de las enfermedades huérfanas, así como la conformación de redes y subredes especializadas.</w:t>
      </w:r>
    </w:p>
    <w:p w14:paraId="50A21F14" w14:textId="77777777" w:rsidR="0089134E" w:rsidRPr="00607124" w:rsidRDefault="0089134E" w:rsidP="0089134E">
      <w:pPr>
        <w:pStyle w:val="p1"/>
        <w:jc w:val="both"/>
        <w:rPr>
          <w:rFonts w:ascii="Calibri" w:hAnsi="Calibri" w:cs="Calibri"/>
          <w:sz w:val="22"/>
          <w:szCs w:val="22"/>
        </w:rPr>
      </w:pPr>
      <w:r w:rsidRPr="00607124">
        <w:rPr>
          <w:rFonts w:ascii="Calibri" w:hAnsi="Calibri" w:cs="Calibri"/>
          <w:sz w:val="22"/>
          <w:szCs w:val="22"/>
        </w:rPr>
        <w:t xml:space="preserve">Que, posteriormente, la </w:t>
      </w:r>
      <w:r w:rsidRPr="00607124">
        <w:rPr>
          <w:rStyle w:val="s1"/>
          <w:rFonts w:ascii="Calibri" w:eastAsiaTheme="majorEastAsia" w:hAnsi="Calibri" w:cs="Calibri"/>
          <w:sz w:val="22"/>
          <w:szCs w:val="22"/>
        </w:rPr>
        <w:t>Resolución 000946 de 2019</w:t>
      </w:r>
      <w:r w:rsidRPr="00607124">
        <w:rPr>
          <w:rFonts w:ascii="Calibri" w:hAnsi="Calibri" w:cs="Calibri"/>
          <w:sz w:val="22"/>
          <w:szCs w:val="22"/>
        </w:rPr>
        <w:t xml:space="preserve"> reguló el Registro Nacional de Pacientes con Enfermedades Huérfanas y su notificación obligatoria al SIVIGILA, precisando que se considera caso nuevo aquel no reportado previamente en censos o registros oficiales.</w:t>
      </w:r>
    </w:p>
    <w:p w14:paraId="0E60F9A3" w14:textId="77777777" w:rsidR="00A21DF2" w:rsidRPr="00607124" w:rsidRDefault="00A21DF2" w:rsidP="00607124">
      <w:pPr>
        <w:pStyle w:val="p1"/>
        <w:jc w:val="both"/>
        <w:rPr>
          <w:rFonts w:ascii="Calibri" w:hAnsi="Calibri" w:cs="Calibri"/>
          <w:sz w:val="22"/>
          <w:szCs w:val="22"/>
        </w:rPr>
      </w:pPr>
      <w:r w:rsidRPr="00607124">
        <w:rPr>
          <w:rFonts w:ascii="Calibri" w:hAnsi="Calibri" w:cs="Calibri"/>
          <w:sz w:val="22"/>
          <w:szCs w:val="22"/>
        </w:rPr>
        <w:t>Que, en relación con la actualización permanente del listado de enfermedades huérfanas o raras, el Ministerio de Salud y Protección Social expidió inicialmente la Resolución 023 de 2023, mediante la cual se realizaron ajustes al listado nacional de estas patologías. Posteriormente, dicha regulación fue actualizada y modificada mediante la Resolución 2625 de 2025, actualmente vigente, la cual incorporó nuevas modificaciones y ajustes técnicos al listado nacional, en cumplimiento de criterios científicos, epidemiológicos y participativos, constituyéndose en el marco normativo aplicable para la identificación y reconocimiento de estas enfermedades en el territorio nacional.</w:t>
      </w:r>
    </w:p>
    <w:p w14:paraId="42D6D5F4" w14:textId="77777777" w:rsidR="0089134E" w:rsidRPr="00607124" w:rsidRDefault="0089134E" w:rsidP="0089134E">
      <w:pPr>
        <w:pStyle w:val="p1"/>
        <w:jc w:val="both"/>
        <w:rPr>
          <w:rFonts w:ascii="Calibri" w:hAnsi="Calibri" w:cs="Calibri"/>
          <w:sz w:val="22"/>
          <w:szCs w:val="22"/>
        </w:rPr>
      </w:pPr>
      <w:r w:rsidRPr="00607124">
        <w:rPr>
          <w:rFonts w:ascii="Calibri" w:hAnsi="Calibri" w:cs="Calibri"/>
          <w:sz w:val="22"/>
          <w:szCs w:val="22"/>
        </w:rPr>
        <w:t xml:space="preserve">Que, adicionalmente, mediante la </w:t>
      </w:r>
      <w:r w:rsidRPr="00607124">
        <w:rPr>
          <w:rStyle w:val="s1"/>
          <w:rFonts w:ascii="Calibri" w:eastAsiaTheme="majorEastAsia" w:hAnsi="Calibri" w:cs="Calibri"/>
          <w:sz w:val="22"/>
          <w:szCs w:val="22"/>
        </w:rPr>
        <w:t>Resolución 207 de 2024</w:t>
      </w:r>
      <w:r w:rsidRPr="00607124">
        <w:rPr>
          <w:rFonts w:ascii="Calibri" w:hAnsi="Calibri" w:cs="Calibri"/>
          <w:sz w:val="22"/>
          <w:szCs w:val="22"/>
        </w:rPr>
        <w:t>, se adoptaron lineamientos técnicos y operativos para el programa de tamizaje neonatal, consolidando el enfoque preventivo en la atención en salud.</w:t>
      </w:r>
    </w:p>
    <w:p w14:paraId="46DACD34" w14:textId="77777777" w:rsidR="0089134E" w:rsidRPr="00607124" w:rsidRDefault="0089134E" w:rsidP="0089134E">
      <w:pPr>
        <w:pStyle w:val="p1"/>
        <w:jc w:val="both"/>
        <w:rPr>
          <w:rFonts w:ascii="Calibri" w:hAnsi="Calibri" w:cs="Calibri"/>
          <w:sz w:val="22"/>
          <w:szCs w:val="22"/>
        </w:rPr>
      </w:pPr>
      <w:r w:rsidRPr="00607124">
        <w:rPr>
          <w:rFonts w:ascii="Calibri" w:hAnsi="Calibri" w:cs="Calibri"/>
          <w:sz w:val="22"/>
          <w:szCs w:val="22"/>
        </w:rPr>
        <w:lastRenderedPageBreak/>
        <w:t xml:space="preserve">Que, finalmente, la </w:t>
      </w:r>
      <w:r w:rsidRPr="00607124">
        <w:rPr>
          <w:rStyle w:val="s1"/>
          <w:rFonts w:ascii="Calibri" w:eastAsiaTheme="majorEastAsia" w:hAnsi="Calibri" w:cs="Calibri"/>
          <w:sz w:val="22"/>
          <w:szCs w:val="22"/>
        </w:rPr>
        <w:t>Resolución 000117 de 2026</w:t>
      </w:r>
      <w:r w:rsidRPr="00607124">
        <w:rPr>
          <w:rFonts w:ascii="Calibri" w:hAnsi="Calibri" w:cs="Calibri"/>
          <w:sz w:val="22"/>
          <w:szCs w:val="22"/>
        </w:rPr>
        <w:t xml:space="preserve"> actualiza aspectos técnicos del sistema, manteniendo la vigencia y evolución normativa del régimen aplicable a las enfermedades huérfanas.</w:t>
      </w:r>
    </w:p>
    <w:p w14:paraId="52FF1C61" w14:textId="69C64306" w:rsidR="0089134E" w:rsidRPr="003258D8" w:rsidRDefault="0089134E" w:rsidP="0089134E">
      <w:pPr>
        <w:pStyle w:val="p1"/>
        <w:jc w:val="both"/>
        <w:rPr>
          <w:rFonts w:ascii="Calibri" w:hAnsi="Calibri" w:cs="Calibri"/>
          <w:sz w:val="22"/>
          <w:szCs w:val="22"/>
        </w:rPr>
      </w:pPr>
      <w:r w:rsidRPr="00607124">
        <w:rPr>
          <w:rFonts w:ascii="Calibri" w:hAnsi="Calibri" w:cs="Calibri"/>
          <w:sz w:val="22"/>
          <w:szCs w:val="22"/>
        </w:rPr>
        <w:t xml:space="preserve">Que, </w:t>
      </w:r>
      <w:r w:rsidR="00D84228" w:rsidRPr="003258D8">
        <w:rPr>
          <w:rFonts w:ascii="Calibri" w:hAnsi="Calibri" w:cs="Calibri"/>
          <w:sz w:val="22"/>
          <w:szCs w:val="22"/>
        </w:rPr>
        <w:t>d</w:t>
      </w:r>
      <w:r w:rsidRPr="003258D8">
        <w:rPr>
          <w:rFonts w:ascii="Calibri" w:hAnsi="Calibri" w:cs="Calibri"/>
          <w:sz w:val="22"/>
          <w:szCs w:val="22"/>
        </w:rPr>
        <w:t xml:space="preserve">el análisis sistemático del marco normativo expuesto, se evidencia que el Estado colombiano ha consolidado un </w:t>
      </w:r>
      <w:r w:rsidRPr="003258D8">
        <w:rPr>
          <w:rStyle w:val="s1"/>
          <w:rFonts w:ascii="Calibri" w:eastAsiaTheme="majorEastAsia" w:hAnsi="Calibri" w:cs="Calibri"/>
          <w:sz w:val="22"/>
          <w:szCs w:val="22"/>
        </w:rPr>
        <w:t>régimen jurídico robusto, progresivo y especializado</w:t>
      </w:r>
      <w:r w:rsidRPr="003258D8">
        <w:rPr>
          <w:rFonts w:ascii="Calibri" w:hAnsi="Calibri" w:cs="Calibri"/>
          <w:sz w:val="22"/>
          <w:szCs w:val="22"/>
        </w:rPr>
        <w:t xml:space="preserve"> en materia de enfermedades huérfanas, el cual articula instrumentos de identificación, registro, vigilancia epidemiológica, atención integral y protección social.</w:t>
      </w:r>
    </w:p>
    <w:p w14:paraId="1FF0A2F0" w14:textId="77777777" w:rsidR="0089134E" w:rsidRPr="003258D8" w:rsidRDefault="0089134E" w:rsidP="0089134E">
      <w:pPr>
        <w:pStyle w:val="p1"/>
        <w:jc w:val="both"/>
        <w:rPr>
          <w:rFonts w:ascii="Calibri" w:hAnsi="Calibri" w:cs="Calibri"/>
          <w:sz w:val="22"/>
          <w:szCs w:val="22"/>
        </w:rPr>
      </w:pPr>
      <w:r w:rsidRPr="003258D8">
        <w:rPr>
          <w:rFonts w:ascii="Calibri" w:hAnsi="Calibri" w:cs="Calibri"/>
          <w:sz w:val="22"/>
          <w:szCs w:val="22"/>
        </w:rPr>
        <w:t>Que, en este sentido, no solo se reconoce a esta población como sujeto de especial protección constitucional, sino que además se garantiza el acceso efectivo, continuo e integral a los servicios y tecnologías en salud, sin que puedan imponerse barreras administrativas, económicas o normativas que limiten el goce efectivo del derecho fundamental a la salud.</w:t>
      </w:r>
    </w:p>
    <w:p w14:paraId="7D0243AA" w14:textId="1444A89A" w:rsidR="00107DAB" w:rsidRDefault="00107DAB" w:rsidP="004007A0">
      <w:pPr>
        <w:spacing w:before="100" w:beforeAutospacing="1" w:after="100" w:afterAutospacing="1"/>
        <w:jc w:val="both"/>
        <w:rPr>
          <w:rFonts w:eastAsia="Times New Roman"/>
          <w:sz w:val="22"/>
          <w:szCs w:val="22"/>
          <w:lang w:eastAsia="es-CO"/>
        </w:rPr>
      </w:pPr>
      <w:r w:rsidRPr="003258D8">
        <w:rPr>
          <w:rFonts w:eastAsia="Times New Roman"/>
          <w:sz w:val="22"/>
          <w:szCs w:val="22"/>
          <w:lang w:eastAsia="es-CO"/>
        </w:rPr>
        <w:t>Que el municipio de Cajicá cuenta con un registro consolidado de doscientos diecinueve (219) pacientes diagnosticados con enfermedades huérfanas o raras, de acuerdo con la información disponible en los sistemas de vigilancia epidemiológica y registros administrativos en salud, lo cual evidencia la necesidad de fortalecer la articulación interinstitucional para el seguimiento epidemiológico, la gestión del riesgo en salud y la garantía del acceso oportuno, continuo e integral a los servicios de salud requeridos por esta población.</w:t>
      </w:r>
    </w:p>
    <w:p w14:paraId="5EAE692F" w14:textId="3A4F4BEE" w:rsidR="00762BE9" w:rsidRPr="00607124" w:rsidRDefault="00762BE9" w:rsidP="00607124">
      <w:pPr>
        <w:pStyle w:val="p1"/>
        <w:jc w:val="both"/>
        <w:rPr>
          <w:rFonts w:ascii="Calibri" w:hAnsi="Calibri" w:cs="Calibri"/>
          <w:sz w:val="22"/>
          <w:szCs w:val="22"/>
        </w:rPr>
      </w:pPr>
      <w:r w:rsidRPr="00607124">
        <w:rPr>
          <w:rFonts w:ascii="Calibri" w:hAnsi="Calibri" w:cs="Calibri"/>
          <w:sz w:val="22"/>
          <w:szCs w:val="22"/>
        </w:rPr>
        <w:t>Que el Plan de Desarrollo Municipal contempla dentro de sus líneas estratégicas, programas, metas e indicadores, acciones orientadas al fortalecimiento de la salud pública, la gestión integral del riesgo en salud, la promoción de la inclusión social, la reducción de brechas de inequidad y la garantía efectiva del acceso oportuno, continuo e integral a los servicios de salud para la población del municipio, con especial énfasis en aquellos grupos que, por sus condiciones particulares de vulnerabilidad, requieren medidas diferenciales de protección y atención por parte del Estado.</w:t>
      </w:r>
    </w:p>
    <w:p w14:paraId="56B167F0" w14:textId="3B6955AA" w:rsidR="00762BE9" w:rsidRPr="00607124" w:rsidRDefault="00762BE9" w:rsidP="00607124">
      <w:pPr>
        <w:pStyle w:val="p1"/>
        <w:jc w:val="both"/>
        <w:rPr>
          <w:rFonts w:ascii="Calibri" w:hAnsi="Calibri" w:cs="Calibri"/>
          <w:sz w:val="22"/>
          <w:szCs w:val="22"/>
        </w:rPr>
      </w:pPr>
      <w:r w:rsidRPr="00607124">
        <w:rPr>
          <w:rFonts w:ascii="Calibri" w:hAnsi="Calibri" w:cs="Calibri"/>
          <w:sz w:val="22"/>
          <w:szCs w:val="22"/>
        </w:rPr>
        <w:t>Que, dentro de dichas poblaciones, se encuentran las personas diagnosticadas con enfermedades huérfanas o raras, quienes enfrentan importantes desafíos relacionados con el acceso a servicios especializados de salud, la continuidad de los tratamientos, los procesos de rehabilitación, la inclusión educativa, social y laboral, así como el reconocimiento y acompañamiento de sus cuidadores y familias, actores fundamentales en la garantía de su bienestar y calidad de vida.</w:t>
      </w:r>
    </w:p>
    <w:p w14:paraId="1F4F9CC4" w14:textId="4B1DE7A3" w:rsidR="00762BE9" w:rsidRPr="00607124" w:rsidRDefault="00762BE9" w:rsidP="00607124">
      <w:pPr>
        <w:pStyle w:val="p1"/>
        <w:jc w:val="both"/>
        <w:rPr>
          <w:rFonts w:ascii="Calibri" w:hAnsi="Calibri" w:cs="Calibri"/>
          <w:sz w:val="22"/>
          <w:szCs w:val="22"/>
        </w:rPr>
      </w:pPr>
      <w:r w:rsidRPr="00607124">
        <w:rPr>
          <w:rFonts w:ascii="Calibri" w:hAnsi="Calibri" w:cs="Calibri"/>
          <w:sz w:val="22"/>
          <w:szCs w:val="22"/>
        </w:rPr>
        <w:t>Que la atención integral de las personas que padecen enfermedades huérfanas o raras demanda la implementación de mecanismos de coordinación, articulación y cooperación entre las diferentes dependencias de la Administración Municipal, las entidades del sector salud, los organismos de protección social, las instituciones educativas, las organizaciones de pacientes, los cuidadores y demás actores involucrados, con el propósito de promover acciones conjuntas que permitan la identificación de necesidades, la gestión institucional, el seguimiento de casos y la eliminación de barreras de acceso a los servicios y programas disponibles.</w:t>
      </w:r>
    </w:p>
    <w:p w14:paraId="7C7A74D2" w14:textId="43F87E56" w:rsidR="00762BE9" w:rsidRPr="00607124" w:rsidRDefault="00762BE9" w:rsidP="00607124">
      <w:pPr>
        <w:pStyle w:val="p1"/>
        <w:jc w:val="both"/>
        <w:rPr>
          <w:rFonts w:ascii="Calibri" w:hAnsi="Calibri" w:cs="Calibri"/>
          <w:sz w:val="22"/>
          <w:szCs w:val="22"/>
        </w:rPr>
      </w:pPr>
      <w:r w:rsidRPr="00607124">
        <w:rPr>
          <w:rFonts w:ascii="Calibri" w:hAnsi="Calibri" w:cs="Calibri"/>
          <w:sz w:val="22"/>
          <w:szCs w:val="22"/>
        </w:rPr>
        <w:t>Que, en este contexto, la creación de la Mesa Técnica Municipal de Enfermedades Huérfanas o Raras se constituye en una instancia de articulación intersectorial, coordinación institucional y participación social, orientada a fortalecer los procesos de caracterización, identificación, seguimiento, acompañamiento y gestión de las necesidades de esta población, así como a promover la formulación de estrategias, planes y acciones que contribuyan a la garantía efectiva de sus derechos fundamentales.</w:t>
      </w:r>
    </w:p>
    <w:p w14:paraId="71198954" w14:textId="281AA567" w:rsidR="00762BE9" w:rsidRPr="00607124" w:rsidRDefault="00762BE9" w:rsidP="00607124">
      <w:pPr>
        <w:pStyle w:val="p1"/>
        <w:jc w:val="both"/>
        <w:rPr>
          <w:rFonts w:ascii="Calibri" w:hAnsi="Calibri" w:cs="Calibri"/>
          <w:sz w:val="22"/>
          <w:szCs w:val="22"/>
        </w:rPr>
      </w:pPr>
      <w:r w:rsidRPr="00607124">
        <w:rPr>
          <w:rFonts w:ascii="Calibri" w:hAnsi="Calibri" w:cs="Calibri"/>
          <w:sz w:val="22"/>
          <w:szCs w:val="22"/>
        </w:rPr>
        <w:t xml:space="preserve">Que la Mesa Técnica Municipal de Enfermedades Huérfanas o Raras contribuirá al cumplimiento de los objetivos, programas y metas establecidos en el Plan de Desarrollo Municipal, mediante el fortalecimiento de la gestión institucional, la coordinación intersectorial, la participación de pacientes y cuidadores, la generación de información para la toma de decisiones, la promoción de acciones de sensibilización y educación comunitaria, y el impulso de iniciativas encaminadas a </w:t>
      </w:r>
      <w:r w:rsidRPr="00607124">
        <w:rPr>
          <w:rFonts w:ascii="Calibri" w:hAnsi="Calibri" w:cs="Calibri"/>
          <w:sz w:val="22"/>
          <w:szCs w:val="22"/>
        </w:rPr>
        <w:lastRenderedPageBreak/>
        <w:t>mejorar las condiciones de acceso, atención, inclusión y calidad de vida de las personas que conviven con estas patologías y de sus redes de apoyo familiar y social.</w:t>
      </w:r>
    </w:p>
    <w:p w14:paraId="6DA781AA" w14:textId="3786CBD3" w:rsidR="0089134E" w:rsidRPr="00607124" w:rsidRDefault="00D84228" w:rsidP="0089134E">
      <w:pPr>
        <w:pStyle w:val="p1"/>
        <w:jc w:val="both"/>
        <w:rPr>
          <w:rFonts w:ascii="Calibri" w:hAnsi="Calibri" w:cs="Calibri"/>
          <w:sz w:val="22"/>
          <w:szCs w:val="22"/>
        </w:rPr>
      </w:pPr>
      <w:r w:rsidRPr="00607124">
        <w:rPr>
          <w:rFonts w:ascii="Calibri" w:hAnsi="Calibri" w:cs="Calibri"/>
          <w:sz w:val="22"/>
          <w:szCs w:val="22"/>
        </w:rPr>
        <w:t xml:space="preserve">Que en consecuencia, resulta </w:t>
      </w:r>
      <w:r w:rsidR="0089134E" w:rsidRPr="00607124">
        <w:rPr>
          <w:rFonts w:ascii="Calibri" w:hAnsi="Calibri" w:cs="Calibri"/>
          <w:sz w:val="22"/>
          <w:szCs w:val="22"/>
        </w:rPr>
        <w:t xml:space="preserve">necesario crear la Mesa Técnica de Enfermedades Huérfanas/Raras como instancia de articulación intersectorial en el ámbito municipal, orientada a coordinar acciones con las Instituciones Prestadoras de Servicios de Salud (IPS), las Entidades Promotoras de Salud (EPS) que operen en la jurisdicción —incluidas las del régimen especial o de excepción— y demás actores del Sistema General de Seguridad Social en Salud, con el propósito de fortalecer la gestión y el seguimiento de estas patologías en el territorio. </w:t>
      </w:r>
    </w:p>
    <w:p w14:paraId="4E26449A" w14:textId="77777777" w:rsidR="0089134E" w:rsidRPr="00607124" w:rsidRDefault="0089134E" w:rsidP="0089134E">
      <w:pPr>
        <w:pStyle w:val="p1"/>
        <w:jc w:val="both"/>
        <w:rPr>
          <w:rFonts w:ascii="Calibri" w:hAnsi="Calibri" w:cs="Calibri"/>
          <w:sz w:val="22"/>
          <w:szCs w:val="22"/>
        </w:rPr>
      </w:pPr>
      <w:r w:rsidRPr="00607124">
        <w:rPr>
          <w:rFonts w:ascii="Calibri" w:hAnsi="Calibri" w:cs="Calibri"/>
          <w:sz w:val="22"/>
          <w:szCs w:val="22"/>
        </w:rPr>
        <w:t>En mérito de lo anterior,</w:t>
      </w:r>
    </w:p>
    <w:p w14:paraId="2D22ACE0" w14:textId="675445DE" w:rsidR="0089134E" w:rsidRPr="00607124" w:rsidRDefault="0089134E" w:rsidP="0089134E">
      <w:pPr>
        <w:pStyle w:val="p1"/>
        <w:jc w:val="center"/>
        <w:rPr>
          <w:rFonts w:ascii="Calibri" w:hAnsi="Calibri" w:cs="Calibri"/>
          <w:b/>
          <w:sz w:val="22"/>
          <w:szCs w:val="22"/>
        </w:rPr>
      </w:pPr>
      <w:r w:rsidRPr="00607124">
        <w:rPr>
          <w:rFonts w:ascii="Calibri" w:hAnsi="Calibri" w:cs="Calibri"/>
          <w:b/>
          <w:sz w:val="22"/>
          <w:szCs w:val="22"/>
        </w:rPr>
        <w:t>RESUELVE</w:t>
      </w:r>
      <w:r w:rsidR="00D84228">
        <w:rPr>
          <w:rFonts w:ascii="Calibri" w:hAnsi="Calibri" w:cs="Calibri"/>
          <w:b/>
          <w:sz w:val="22"/>
          <w:szCs w:val="22"/>
        </w:rPr>
        <w:t>:</w:t>
      </w:r>
    </w:p>
    <w:p w14:paraId="264EDA8E" w14:textId="68CF10EA" w:rsidR="0089134E" w:rsidRPr="00821D6C" w:rsidRDefault="00033B6F" w:rsidP="0089134E">
      <w:pPr>
        <w:jc w:val="both"/>
        <w:rPr>
          <w:rFonts w:eastAsia="Times New Roman"/>
          <w:sz w:val="22"/>
          <w:szCs w:val="22"/>
          <w:lang w:eastAsia="es-MX"/>
        </w:rPr>
      </w:pPr>
      <w:r w:rsidRPr="00033B6F">
        <w:rPr>
          <w:rFonts w:eastAsia="Times New Roman"/>
          <w:b/>
          <w:bCs/>
          <w:sz w:val="22"/>
          <w:szCs w:val="22"/>
          <w:lang w:eastAsia="es-MX"/>
        </w:rPr>
        <w:t>ARTÍCULO PRIMERO</w:t>
      </w:r>
      <w:r w:rsidR="00247F3C" w:rsidRPr="00821D6C">
        <w:rPr>
          <w:rFonts w:eastAsia="Times New Roman"/>
          <w:b/>
          <w:bCs/>
          <w:sz w:val="22"/>
          <w:szCs w:val="22"/>
          <w:lang w:eastAsia="es-MX"/>
        </w:rPr>
        <w:t>.</w:t>
      </w:r>
      <w:r w:rsidR="0089134E" w:rsidRPr="00821D6C">
        <w:rPr>
          <w:rFonts w:eastAsia="Times New Roman"/>
          <w:b/>
          <w:bCs/>
          <w:sz w:val="22"/>
          <w:szCs w:val="22"/>
          <w:lang w:eastAsia="es-MX"/>
        </w:rPr>
        <w:t xml:space="preserve"> </w:t>
      </w:r>
      <w:r w:rsidR="00D541E4">
        <w:rPr>
          <w:rFonts w:eastAsia="Times New Roman"/>
          <w:b/>
          <w:bCs/>
          <w:sz w:val="22"/>
          <w:szCs w:val="22"/>
          <w:lang w:eastAsia="es-MX"/>
        </w:rPr>
        <w:t xml:space="preserve">CREACIÓN. </w:t>
      </w:r>
      <w:r w:rsidR="00AE15A3">
        <w:rPr>
          <w:rFonts w:eastAsia="Times New Roman"/>
          <w:sz w:val="22"/>
          <w:szCs w:val="22"/>
          <w:lang w:eastAsia="es-MX"/>
        </w:rPr>
        <w:t>Créese</w:t>
      </w:r>
      <w:r w:rsidR="0089134E" w:rsidRPr="00821D6C">
        <w:rPr>
          <w:rFonts w:eastAsia="Times New Roman"/>
          <w:sz w:val="22"/>
          <w:szCs w:val="22"/>
          <w:lang w:eastAsia="es-MX"/>
        </w:rPr>
        <w:t xml:space="preserve"> la Mesa Técnica de Enfermedades Huérfanas del Municipio de Cajicá.</w:t>
      </w:r>
    </w:p>
    <w:p w14:paraId="3A233082" w14:textId="77777777" w:rsidR="0089134E" w:rsidRPr="00821D6C" w:rsidRDefault="0089134E" w:rsidP="0089134E">
      <w:pPr>
        <w:jc w:val="both"/>
        <w:rPr>
          <w:rFonts w:eastAsia="Times New Roman"/>
          <w:sz w:val="22"/>
          <w:szCs w:val="22"/>
          <w:lang w:eastAsia="es-MX"/>
        </w:rPr>
      </w:pPr>
    </w:p>
    <w:p w14:paraId="7308CA88" w14:textId="6697CD5F" w:rsidR="0089134E" w:rsidRPr="00821D6C" w:rsidRDefault="00033B6F" w:rsidP="0089134E">
      <w:pPr>
        <w:jc w:val="both"/>
        <w:rPr>
          <w:rFonts w:eastAsia="Times New Roman"/>
          <w:sz w:val="22"/>
          <w:szCs w:val="22"/>
          <w:lang w:eastAsia="es-MX"/>
        </w:rPr>
      </w:pPr>
      <w:r w:rsidRPr="00033B6F">
        <w:rPr>
          <w:rFonts w:eastAsia="Times New Roman"/>
          <w:b/>
          <w:bCs/>
          <w:sz w:val="22"/>
          <w:szCs w:val="22"/>
          <w:lang w:eastAsia="es-MX"/>
        </w:rPr>
        <w:t>A</w:t>
      </w:r>
      <w:r>
        <w:rPr>
          <w:rFonts w:eastAsia="Times New Roman"/>
          <w:b/>
          <w:bCs/>
          <w:sz w:val="22"/>
          <w:szCs w:val="22"/>
          <w:lang w:eastAsia="es-MX"/>
        </w:rPr>
        <w:t>RTÍCULO</w:t>
      </w:r>
      <w:r w:rsidRPr="00033B6F">
        <w:rPr>
          <w:rFonts w:eastAsia="Times New Roman"/>
          <w:b/>
          <w:bCs/>
          <w:sz w:val="22"/>
          <w:szCs w:val="22"/>
          <w:lang w:eastAsia="es-MX"/>
        </w:rPr>
        <w:t xml:space="preserve"> SEGUNDO</w:t>
      </w:r>
      <w:r w:rsidR="0089134E" w:rsidRPr="00821D6C">
        <w:rPr>
          <w:rFonts w:eastAsia="Times New Roman"/>
          <w:b/>
          <w:bCs/>
          <w:sz w:val="22"/>
          <w:szCs w:val="22"/>
          <w:lang w:eastAsia="es-MX"/>
        </w:rPr>
        <w:t>.</w:t>
      </w:r>
      <w:r w:rsidR="0089134E" w:rsidRPr="00821D6C">
        <w:rPr>
          <w:rFonts w:eastAsia="Times New Roman"/>
          <w:sz w:val="22"/>
          <w:szCs w:val="22"/>
          <w:lang w:eastAsia="es-MX"/>
        </w:rPr>
        <w:t xml:space="preserve"> </w:t>
      </w:r>
      <w:r w:rsidR="00D541E4" w:rsidRPr="00821D6C">
        <w:rPr>
          <w:rFonts w:eastAsia="Times New Roman"/>
          <w:b/>
          <w:sz w:val="22"/>
          <w:szCs w:val="22"/>
          <w:lang w:eastAsia="es-MX"/>
        </w:rPr>
        <w:t>NATURALEZA.</w:t>
      </w:r>
      <w:r w:rsidR="00D541E4">
        <w:rPr>
          <w:rFonts w:eastAsia="Times New Roman"/>
          <w:sz w:val="22"/>
          <w:szCs w:val="22"/>
          <w:lang w:eastAsia="es-MX"/>
        </w:rPr>
        <w:t xml:space="preserve"> </w:t>
      </w:r>
      <w:r w:rsidR="0089134E" w:rsidRPr="00821D6C">
        <w:rPr>
          <w:rFonts w:eastAsia="Times New Roman"/>
          <w:sz w:val="22"/>
          <w:szCs w:val="22"/>
          <w:lang w:eastAsia="es-MX"/>
        </w:rPr>
        <w:t xml:space="preserve">La Mesa Técnica de Enfermedades </w:t>
      </w:r>
      <w:r w:rsidR="00821D6C" w:rsidRPr="00821D6C">
        <w:rPr>
          <w:rFonts w:eastAsia="Times New Roman"/>
          <w:sz w:val="22"/>
          <w:szCs w:val="22"/>
          <w:lang w:eastAsia="es-MX"/>
        </w:rPr>
        <w:t>Huérfanas será</w:t>
      </w:r>
      <w:r w:rsidR="00B77488">
        <w:rPr>
          <w:rFonts w:eastAsia="Times New Roman"/>
          <w:sz w:val="22"/>
          <w:szCs w:val="22"/>
          <w:lang w:eastAsia="es-MX"/>
        </w:rPr>
        <w:t xml:space="preserve"> </w:t>
      </w:r>
      <w:r w:rsidR="0089134E" w:rsidRPr="00821D6C">
        <w:rPr>
          <w:rFonts w:eastAsia="Times New Roman"/>
          <w:sz w:val="22"/>
          <w:szCs w:val="22"/>
          <w:lang w:eastAsia="es-MX"/>
        </w:rPr>
        <w:t>instancia de carácter asesor, consultivo y de coordinación institucional e intersectorial entre los partícipes e intervinientes.</w:t>
      </w:r>
    </w:p>
    <w:p w14:paraId="334EC568" w14:textId="77777777" w:rsidR="0089134E" w:rsidRPr="00821D6C" w:rsidRDefault="0089134E" w:rsidP="0089134E">
      <w:pPr>
        <w:jc w:val="both"/>
        <w:rPr>
          <w:rFonts w:eastAsia="Times New Roman"/>
          <w:sz w:val="22"/>
          <w:szCs w:val="22"/>
          <w:lang w:eastAsia="es-MX"/>
        </w:rPr>
      </w:pPr>
    </w:p>
    <w:p w14:paraId="01367DBB" w14:textId="6930C943" w:rsidR="00EC41D0" w:rsidRPr="001D5359" w:rsidRDefault="00033B6F" w:rsidP="00EC41D0">
      <w:pPr>
        <w:spacing w:before="100" w:beforeAutospacing="1" w:after="100" w:afterAutospacing="1"/>
        <w:jc w:val="both"/>
        <w:rPr>
          <w:rFonts w:eastAsia="Times New Roman"/>
          <w:sz w:val="22"/>
          <w:szCs w:val="22"/>
          <w:lang w:eastAsia="es-MX"/>
        </w:rPr>
      </w:pPr>
      <w:r>
        <w:rPr>
          <w:rFonts w:eastAsia="Times New Roman"/>
          <w:b/>
          <w:bCs/>
          <w:sz w:val="22"/>
          <w:szCs w:val="22"/>
          <w:lang w:eastAsia="es-MX"/>
        </w:rPr>
        <w:t>ARTÍCULO TERCERO</w:t>
      </w:r>
      <w:r w:rsidR="003F1C5E" w:rsidRPr="00821D6C">
        <w:rPr>
          <w:rFonts w:eastAsia="Times New Roman"/>
          <w:b/>
          <w:bCs/>
          <w:sz w:val="22"/>
          <w:szCs w:val="22"/>
          <w:lang w:eastAsia="es-MX"/>
        </w:rPr>
        <w:t>.</w:t>
      </w:r>
      <w:r w:rsidR="0089134E" w:rsidRPr="00821D6C">
        <w:rPr>
          <w:rFonts w:eastAsia="Times New Roman"/>
          <w:sz w:val="22"/>
          <w:szCs w:val="22"/>
          <w:lang w:eastAsia="es-MX"/>
        </w:rPr>
        <w:t xml:space="preserve"> </w:t>
      </w:r>
      <w:r w:rsidR="00D541E4" w:rsidRPr="00821D6C">
        <w:rPr>
          <w:rFonts w:eastAsia="Times New Roman"/>
          <w:b/>
          <w:sz w:val="22"/>
          <w:szCs w:val="22"/>
          <w:lang w:eastAsia="es-MX"/>
        </w:rPr>
        <w:t>OBJETO.</w:t>
      </w:r>
      <w:r w:rsidR="00D541E4">
        <w:rPr>
          <w:rFonts w:eastAsia="Times New Roman"/>
          <w:sz w:val="22"/>
          <w:szCs w:val="22"/>
          <w:lang w:eastAsia="es-MX"/>
        </w:rPr>
        <w:t xml:space="preserve"> </w:t>
      </w:r>
      <w:r w:rsidR="00EC41D0" w:rsidRPr="001D5359">
        <w:rPr>
          <w:rFonts w:eastAsia="Times New Roman"/>
          <w:sz w:val="22"/>
          <w:szCs w:val="22"/>
          <w:lang w:eastAsia="es-MX"/>
        </w:rPr>
        <w:t>La Mesa Técnica Municipal de Enfermedades Huérfanas o Raras del Municipio de Cajicá tendrá por objeto articular, coordinar y gestionar acciones intersectoriales orientadas a mejorar la calidad de vida de las personas diagnosticadas con enfermedades huérfanas o raras, así como de sus familias y cuidadores, promoviendo la garantía de sus derechos y el acceso oportuno, integral y efectivo a los servicios de salud, apoyo psicosocial, inclusión social, rehabilitación y demás programas institucionales que contribuyan a su bienestar.</w:t>
      </w:r>
    </w:p>
    <w:p w14:paraId="22822DA7" w14:textId="77777777" w:rsidR="00EC41D0" w:rsidRPr="001D5359" w:rsidRDefault="00EC41D0" w:rsidP="00EC41D0">
      <w:pPr>
        <w:spacing w:before="100" w:beforeAutospacing="1" w:after="100" w:afterAutospacing="1"/>
        <w:jc w:val="both"/>
        <w:rPr>
          <w:rFonts w:eastAsia="Times New Roman"/>
          <w:sz w:val="22"/>
          <w:szCs w:val="22"/>
          <w:lang w:eastAsia="es-MX"/>
        </w:rPr>
      </w:pPr>
      <w:r w:rsidRPr="001D5359">
        <w:rPr>
          <w:rFonts w:eastAsia="Times New Roman"/>
          <w:sz w:val="22"/>
          <w:szCs w:val="22"/>
          <w:lang w:eastAsia="es-MX"/>
        </w:rPr>
        <w:t>Asimismo, la Mesa Técnica promoverá la identificación y gestión de necesidades, la mitigación de barreras de acceso a servicios y programas, la coordinación entre entidades competentes y el seguimiento de acciones encaminadas a brindar una atención integral, humanizada y centrada en las necesidades de esta población.</w:t>
      </w:r>
    </w:p>
    <w:p w14:paraId="771E146A" w14:textId="77777777" w:rsidR="00EC41D0" w:rsidRPr="001D5359" w:rsidRDefault="00EC41D0" w:rsidP="00EC41D0">
      <w:pPr>
        <w:spacing w:before="100" w:beforeAutospacing="1" w:after="100" w:afterAutospacing="1"/>
        <w:jc w:val="both"/>
        <w:rPr>
          <w:rFonts w:eastAsia="Times New Roman"/>
          <w:sz w:val="22"/>
          <w:szCs w:val="22"/>
          <w:lang w:eastAsia="es-MX"/>
        </w:rPr>
      </w:pPr>
      <w:r w:rsidRPr="001D5359">
        <w:rPr>
          <w:rFonts w:eastAsia="Times New Roman"/>
          <w:sz w:val="22"/>
          <w:szCs w:val="22"/>
          <w:lang w:eastAsia="es-MX"/>
        </w:rPr>
        <w:t>En desarrollo de sus funciones, la Mesa Técnica servirá como espacio de coordinación interinstitucional para la formulación de estrategias, la gestión de casos, la canalización de necesidades, la construcción de rutas de atención y el seguimiento de las acciones implementadas, con el propósito de favorecer una atención integral, humanizada y centrada en las necesidades de las personas que conviven con enfermedades huérfanas o raras.</w:t>
      </w:r>
    </w:p>
    <w:p w14:paraId="639D2968" w14:textId="3F0AC1F7" w:rsidR="003F1C5E" w:rsidRPr="00607124" w:rsidRDefault="00EC41D0" w:rsidP="00607124">
      <w:pPr>
        <w:tabs>
          <w:tab w:val="left" w:pos="764"/>
        </w:tabs>
        <w:jc w:val="both"/>
        <w:rPr>
          <w:rFonts w:eastAsia="Times New Roman"/>
          <w:sz w:val="22"/>
          <w:szCs w:val="22"/>
          <w:lang w:eastAsia="es-MX"/>
        </w:rPr>
      </w:pPr>
      <w:r>
        <w:rPr>
          <w:rFonts w:eastAsia="Times New Roman"/>
          <w:sz w:val="22"/>
          <w:szCs w:val="22"/>
          <w:lang w:eastAsia="es-MX"/>
        </w:rPr>
        <w:tab/>
      </w:r>
    </w:p>
    <w:p w14:paraId="268ADC8E" w14:textId="7705BAAF" w:rsidR="0089134E" w:rsidRPr="00607124" w:rsidRDefault="00033B6F" w:rsidP="0089134E">
      <w:pPr>
        <w:jc w:val="both"/>
        <w:rPr>
          <w:rFonts w:eastAsia="Times New Roman"/>
          <w:sz w:val="22"/>
          <w:szCs w:val="22"/>
          <w:lang w:eastAsia="es-MX"/>
        </w:rPr>
      </w:pPr>
      <w:r w:rsidRPr="00033B6F">
        <w:rPr>
          <w:rFonts w:eastAsia="Times New Roman"/>
          <w:b/>
          <w:bCs/>
          <w:sz w:val="22"/>
          <w:szCs w:val="22"/>
          <w:lang w:eastAsia="es-MX"/>
        </w:rPr>
        <w:t>ARTÍCULO CUARTO.</w:t>
      </w:r>
      <w:r w:rsidRPr="000C7DD9">
        <w:rPr>
          <w:rFonts w:eastAsia="Times New Roman"/>
          <w:sz w:val="22"/>
          <w:szCs w:val="22"/>
          <w:lang w:eastAsia="es-MX"/>
        </w:rPr>
        <w:t xml:space="preserve"> </w:t>
      </w:r>
      <w:r w:rsidR="0089134E" w:rsidRPr="00607124">
        <w:rPr>
          <w:rFonts w:eastAsia="Times New Roman"/>
          <w:sz w:val="22"/>
          <w:szCs w:val="22"/>
          <w:lang w:eastAsia="es-MX"/>
        </w:rPr>
        <w:t>La Mesa Técnica de Enfermedades Huérfanas del municipio de Cajicá, estará integrada por:</w:t>
      </w:r>
    </w:p>
    <w:p w14:paraId="383C05DC" w14:textId="77777777" w:rsidR="0089134E" w:rsidRPr="00607124" w:rsidRDefault="0089134E" w:rsidP="0089134E">
      <w:pPr>
        <w:jc w:val="both"/>
        <w:rPr>
          <w:rFonts w:eastAsia="Times New Roman"/>
          <w:sz w:val="22"/>
          <w:szCs w:val="22"/>
          <w:lang w:eastAsia="es-MX"/>
        </w:rPr>
      </w:pPr>
    </w:p>
    <w:p w14:paraId="71B98D54" w14:textId="1A5B8161" w:rsidR="0089134E" w:rsidRPr="00607124" w:rsidRDefault="0089134E" w:rsidP="0089134E">
      <w:pPr>
        <w:jc w:val="both"/>
        <w:rPr>
          <w:sz w:val="22"/>
          <w:szCs w:val="22"/>
        </w:rPr>
      </w:pPr>
      <w:r w:rsidRPr="00607124">
        <w:rPr>
          <w:sz w:val="22"/>
          <w:szCs w:val="22"/>
        </w:rPr>
        <w:t>1.</w:t>
      </w:r>
      <w:r w:rsidRPr="00607124">
        <w:rPr>
          <w:sz w:val="22"/>
          <w:szCs w:val="22"/>
        </w:rPr>
        <w:tab/>
        <w:t>Secretaria/o de Salud Municipal o su delegado</w:t>
      </w:r>
      <w:r w:rsidR="00A21DF2">
        <w:rPr>
          <w:sz w:val="22"/>
          <w:szCs w:val="22"/>
        </w:rPr>
        <w:t xml:space="preserve">, quien presidirá esta mesa </w:t>
      </w:r>
      <w:r w:rsidR="00587E8C">
        <w:rPr>
          <w:sz w:val="22"/>
          <w:szCs w:val="22"/>
        </w:rPr>
        <w:t>técnica</w:t>
      </w:r>
      <w:r w:rsidRPr="00607124">
        <w:rPr>
          <w:sz w:val="22"/>
          <w:szCs w:val="22"/>
        </w:rPr>
        <w:t>.</w:t>
      </w:r>
    </w:p>
    <w:p w14:paraId="766FC97F" w14:textId="77777777" w:rsidR="0089134E" w:rsidRPr="00607124" w:rsidRDefault="0089134E" w:rsidP="0089134E">
      <w:pPr>
        <w:jc w:val="both"/>
        <w:rPr>
          <w:sz w:val="22"/>
          <w:szCs w:val="22"/>
        </w:rPr>
      </w:pPr>
      <w:r w:rsidRPr="00607124">
        <w:rPr>
          <w:sz w:val="22"/>
          <w:szCs w:val="22"/>
        </w:rPr>
        <w:t>2.</w:t>
      </w:r>
      <w:r w:rsidRPr="00607124">
        <w:rPr>
          <w:sz w:val="22"/>
          <w:szCs w:val="22"/>
        </w:rPr>
        <w:tab/>
        <w:t>Secretaria/o de Educación.</w:t>
      </w:r>
    </w:p>
    <w:p w14:paraId="39920240" w14:textId="77777777" w:rsidR="0089134E" w:rsidRPr="00607124" w:rsidRDefault="0089134E" w:rsidP="0089134E">
      <w:pPr>
        <w:jc w:val="both"/>
        <w:rPr>
          <w:sz w:val="22"/>
          <w:szCs w:val="22"/>
        </w:rPr>
      </w:pPr>
      <w:r w:rsidRPr="00607124">
        <w:rPr>
          <w:sz w:val="22"/>
          <w:szCs w:val="22"/>
        </w:rPr>
        <w:t>3.</w:t>
      </w:r>
      <w:r w:rsidRPr="00607124">
        <w:rPr>
          <w:sz w:val="22"/>
          <w:szCs w:val="22"/>
        </w:rPr>
        <w:tab/>
        <w:t>Secretaria/o de Desarrollo Social o su delegado.</w:t>
      </w:r>
    </w:p>
    <w:p w14:paraId="316D277E" w14:textId="2830FD61" w:rsidR="0089134E" w:rsidRPr="00607124" w:rsidRDefault="0089134E" w:rsidP="0089134E">
      <w:pPr>
        <w:jc w:val="both"/>
        <w:rPr>
          <w:sz w:val="22"/>
          <w:szCs w:val="22"/>
        </w:rPr>
      </w:pPr>
      <w:r w:rsidRPr="00607124">
        <w:rPr>
          <w:sz w:val="22"/>
          <w:szCs w:val="22"/>
        </w:rPr>
        <w:t>4.</w:t>
      </w:r>
      <w:r w:rsidRPr="00607124">
        <w:rPr>
          <w:sz w:val="22"/>
          <w:szCs w:val="22"/>
        </w:rPr>
        <w:tab/>
        <w:t>El profesional, referente o quien lidere el programa de enfermedades huérfanas perteneciente a la Secretar</w:t>
      </w:r>
      <w:r w:rsidR="00E42526">
        <w:rPr>
          <w:sz w:val="22"/>
          <w:szCs w:val="22"/>
        </w:rPr>
        <w:t>í</w:t>
      </w:r>
      <w:r w:rsidRPr="00607124">
        <w:rPr>
          <w:sz w:val="22"/>
          <w:szCs w:val="22"/>
        </w:rPr>
        <w:t>a de Salud del Municipio de Cajicá.</w:t>
      </w:r>
    </w:p>
    <w:p w14:paraId="4390E93C" w14:textId="7C4E4101" w:rsidR="0089134E" w:rsidRPr="00607124" w:rsidRDefault="0089134E" w:rsidP="0089134E">
      <w:pPr>
        <w:jc w:val="both"/>
        <w:rPr>
          <w:sz w:val="22"/>
          <w:szCs w:val="22"/>
        </w:rPr>
      </w:pPr>
      <w:r w:rsidRPr="00607124">
        <w:rPr>
          <w:sz w:val="22"/>
          <w:szCs w:val="22"/>
        </w:rPr>
        <w:t>5.</w:t>
      </w:r>
      <w:r w:rsidRPr="00607124">
        <w:rPr>
          <w:sz w:val="22"/>
          <w:szCs w:val="22"/>
        </w:rPr>
        <w:tab/>
        <w:t xml:space="preserve">El Representante Legal de </w:t>
      </w:r>
      <w:r w:rsidR="009C2992">
        <w:rPr>
          <w:sz w:val="22"/>
          <w:szCs w:val="22"/>
        </w:rPr>
        <w:t xml:space="preserve">la </w:t>
      </w:r>
      <w:r w:rsidRPr="00607124">
        <w:rPr>
          <w:sz w:val="22"/>
          <w:szCs w:val="22"/>
        </w:rPr>
        <w:t>E.S.E</w:t>
      </w:r>
      <w:r w:rsidR="009C2992">
        <w:rPr>
          <w:sz w:val="22"/>
          <w:szCs w:val="22"/>
        </w:rPr>
        <w:t>.</w:t>
      </w:r>
      <w:r w:rsidRPr="00607124">
        <w:rPr>
          <w:sz w:val="22"/>
          <w:szCs w:val="22"/>
        </w:rPr>
        <w:t xml:space="preserve"> Hospital Profesor Jorge Cavelier.</w:t>
      </w:r>
    </w:p>
    <w:p w14:paraId="2950822F" w14:textId="77777777" w:rsidR="0089134E" w:rsidRPr="00607124" w:rsidRDefault="0089134E" w:rsidP="0089134E">
      <w:pPr>
        <w:jc w:val="both"/>
        <w:rPr>
          <w:sz w:val="22"/>
          <w:szCs w:val="22"/>
        </w:rPr>
      </w:pPr>
      <w:r w:rsidRPr="00607124">
        <w:rPr>
          <w:sz w:val="22"/>
          <w:szCs w:val="22"/>
        </w:rPr>
        <w:t>6.</w:t>
      </w:r>
      <w:r w:rsidRPr="00607124">
        <w:rPr>
          <w:sz w:val="22"/>
          <w:szCs w:val="22"/>
        </w:rPr>
        <w:tab/>
        <w:t xml:space="preserve">El Representante Legal del Centro Médico San Luis. </w:t>
      </w:r>
    </w:p>
    <w:p w14:paraId="109F0152" w14:textId="62DA41BE" w:rsidR="0089134E" w:rsidRPr="00607124" w:rsidRDefault="0089134E" w:rsidP="0089134E">
      <w:pPr>
        <w:jc w:val="both"/>
        <w:rPr>
          <w:sz w:val="22"/>
          <w:szCs w:val="22"/>
        </w:rPr>
      </w:pPr>
      <w:r w:rsidRPr="00607124">
        <w:rPr>
          <w:sz w:val="22"/>
          <w:szCs w:val="22"/>
        </w:rPr>
        <w:t xml:space="preserve">7. </w:t>
      </w:r>
      <w:r w:rsidRPr="00607124">
        <w:rPr>
          <w:sz w:val="22"/>
          <w:szCs w:val="22"/>
        </w:rPr>
        <w:tab/>
        <w:t xml:space="preserve">Un representante de cada una de las Entidades </w:t>
      </w:r>
      <w:r w:rsidR="009C2992" w:rsidRPr="00607124">
        <w:rPr>
          <w:sz w:val="22"/>
          <w:szCs w:val="22"/>
        </w:rPr>
        <w:t>Pr</w:t>
      </w:r>
      <w:r w:rsidR="009C2992">
        <w:rPr>
          <w:sz w:val="22"/>
          <w:szCs w:val="22"/>
        </w:rPr>
        <w:t>omotoras</w:t>
      </w:r>
      <w:r w:rsidR="009C2992" w:rsidRPr="00607124">
        <w:rPr>
          <w:sz w:val="22"/>
          <w:szCs w:val="22"/>
        </w:rPr>
        <w:t xml:space="preserve"> </w:t>
      </w:r>
      <w:r w:rsidRPr="00607124">
        <w:rPr>
          <w:sz w:val="22"/>
          <w:szCs w:val="22"/>
        </w:rPr>
        <w:t>de Salud (EPS) que operen en el municipio de Cajicá.</w:t>
      </w:r>
    </w:p>
    <w:p w14:paraId="3A299DE9" w14:textId="77777777" w:rsidR="00DD08A3" w:rsidRPr="00607124" w:rsidRDefault="00CF4FA8" w:rsidP="005D76B9">
      <w:pPr>
        <w:rPr>
          <w:sz w:val="22"/>
          <w:szCs w:val="22"/>
        </w:rPr>
      </w:pPr>
      <w:r w:rsidRPr="00607124">
        <w:rPr>
          <w:sz w:val="22"/>
          <w:szCs w:val="22"/>
        </w:rPr>
        <w:lastRenderedPageBreak/>
        <w:t>8</w:t>
      </w:r>
      <w:r w:rsidR="0089134E" w:rsidRPr="00607124">
        <w:rPr>
          <w:sz w:val="22"/>
          <w:szCs w:val="22"/>
        </w:rPr>
        <w:t>.</w:t>
      </w:r>
      <w:r w:rsidR="0089134E" w:rsidRPr="00607124">
        <w:rPr>
          <w:sz w:val="22"/>
          <w:szCs w:val="22"/>
        </w:rPr>
        <w:tab/>
        <w:t>Un representante de cada una de las Instituciones Prestadoras de Salud (IPS) que operen en el municipio de Cajicá.</w:t>
      </w:r>
    </w:p>
    <w:p w14:paraId="02F6054C" w14:textId="72B82EF3" w:rsidR="00DD08A3" w:rsidRPr="00607124" w:rsidRDefault="00DD08A3" w:rsidP="005D76B9">
      <w:pPr>
        <w:rPr>
          <w:sz w:val="22"/>
          <w:szCs w:val="22"/>
        </w:rPr>
      </w:pPr>
      <w:r w:rsidRPr="00607124">
        <w:rPr>
          <w:rFonts w:eastAsia="Times New Roman"/>
          <w:sz w:val="22"/>
          <w:szCs w:val="22"/>
          <w:lang w:eastAsia="es-CO"/>
        </w:rPr>
        <w:t xml:space="preserve">9. </w:t>
      </w:r>
      <w:r w:rsidR="009C2992">
        <w:rPr>
          <w:rFonts w:eastAsia="Times New Roman"/>
          <w:sz w:val="22"/>
          <w:szCs w:val="22"/>
          <w:lang w:eastAsia="es-CO"/>
        </w:rPr>
        <w:t xml:space="preserve">          </w:t>
      </w:r>
      <w:r w:rsidRPr="00607124">
        <w:rPr>
          <w:rFonts w:eastAsia="Times New Roman"/>
          <w:sz w:val="22"/>
          <w:szCs w:val="22"/>
          <w:lang w:eastAsia="es-CO"/>
        </w:rPr>
        <w:t>Un representante de las personas diagnosticadas con enfermedades huérfanas o raras residentes en el municipio de Cajicá</w:t>
      </w:r>
      <w:r w:rsidRPr="00607124">
        <w:rPr>
          <w:rFonts w:eastAsia="Times New Roman"/>
          <w:sz w:val="22"/>
          <w:szCs w:val="22"/>
          <w:lang w:eastAsia="es-CO"/>
        </w:rPr>
        <w:br/>
        <w:t xml:space="preserve">10. </w:t>
      </w:r>
      <w:r w:rsidR="009C2992">
        <w:rPr>
          <w:rFonts w:eastAsia="Times New Roman"/>
          <w:sz w:val="22"/>
          <w:szCs w:val="22"/>
          <w:lang w:eastAsia="es-CO"/>
        </w:rPr>
        <w:t xml:space="preserve">        </w:t>
      </w:r>
      <w:r w:rsidRPr="00607124">
        <w:rPr>
          <w:rFonts w:eastAsia="Times New Roman"/>
          <w:sz w:val="22"/>
          <w:szCs w:val="22"/>
          <w:lang w:eastAsia="es-CO"/>
        </w:rPr>
        <w:t>Un representante de los cuidadores de personas con enfermedades huérfanas o raras residentes en el municipio de Cajicá</w:t>
      </w:r>
      <w:r w:rsidRPr="00607124">
        <w:rPr>
          <w:rFonts w:eastAsia="Times New Roman"/>
          <w:sz w:val="22"/>
          <w:szCs w:val="22"/>
          <w:lang w:eastAsia="es-CO"/>
        </w:rPr>
        <w:br/>
        <w:t xml:space="preserve">11. </w:t>
      </w:r>
      <w:r w:rsidR="009C2992">
        <w:rPr>
          <w:rFonts w:eastAsia="Times New Roman"/>
          <w:sz w:val="22"/>
          <w:szCs w:val="22"/>
          <w:lang w:eastAsia="es-CO"/>
        </w:rPr>
        <w:t xml:space="preserve">        </w:t>
      </w:r>
      <w:r w:rsidRPr="00607124">
        <w:rPr>
          <w:rFonts w:eastAsia="Times New Roman"/>
          <w:sz w:val="22"/>
          <w:szCs w:val="22"/>
          <w:lang w:eastAsia="es-CO"/>
        </w:rPr>
        <w:t>Un representante del sector educativo del municipio, preferiblemente con experiencia en procesos de inclusión educativa de personas con enfermedades huérfanas o condiciones crónicas complejas</w:t>
      </w:r>
      <w:r w:rsidR="009C2992">
        <w:rPr>
          <w:rFonts w:eastAsia="Times New Roman"/>
          <w:sz w:val="22"/>
          <w:szCs w:val="22"/>
          <w:lang w:eastAsia="es-CO"/>
        </w:rPr>
        <w:t>.</w:t>
      </w:r>
      <w:r w:rsidRPr="00607124">
        <w:rPr>
          <w:rFonts w:eastAsia="Times New Roman"/>
          <w:sz w:val="22"/>
          <w:szCs w:val="22"/>
          <w:lang w:eastAsia="es-CO"/>
        </w:rPr>
        <w:br/>
        <w:t>12. Un representante de organizaciones sociales, asociaciones de pacientes, fundaciones o grupos de apoyo relacionados con enfermedades huérfanas o discapacidad presentes en el municipio o en el departamento.</w:t>
      </w:r>
    </w:p>
    <w:p w14:paraId="27581C8F" w14:textId="77777777" w:rsidR="00DD08A3" w:rsidRPr="00607124" w:rsidRDefault="00DD08A3" w:rsidP="0089134E">
      <w:pPr>
        <w:jc w:val="both"/>
        <w:rPr>
          <w:sz w:val="22"/>
          <w:szCs w:val="22"/>
        </w:rPr>
      </w:pPr>
    </w:p>
    <w:p w14:paraId="588731CA" w14:textId="521BE155" w:rsidR="0089134E" w:rsidRPr="00607124" w:rsidRDefault="0089134E" w:rsidP="0089134E">
      <w:pPr>
        <w:jc w:val="both"/>
        <w:rPr>
          <w:sz w:val="22"/>
          <w:szCs w:val="22"/>
        </w:rPr>
      </w:pPr>
      <w:r w:rsidRPr="00607124">
        <w:rPr>
          <w:b/>
          <w:bCs/>
          <w:sz w:val="22"/>
          <w:szCs w:val="22"/>
        </w:rPr>
        <w:t xml:space="preserve">PARÁGRAFO </w:t>
      </w:r>
      <w:r w:rsidR="00D84228">
        <w:rPr>
          <w:b/>
          <w:bCs/>
          <w:sz w:val="22"/>
          <w:szCs w:val="22"/>
        </w:rPr>
        <w:t>PRIMERO</w:t>
      </w:r>
      <w:r w:rsidRPr="00607124">
        <w:rPr>
          <w:b/>
          <w:bCs/>
          <w:sz w:val="22"/>
          <w:szCs w:val="22"/>
        </w:rPr>
        <w:t>:</w:t>
      </w:r>
      <w:r w:rsidRPr="00607124">
        <w:rPr>
          <w:sz w:val="22"/>
          <w:szCs w:val="22"/>
        </w:rPr>
        <w:t xml:space="preserve"> La Mesa Técnica de Enfermedades Huérfanas del Municipio de Cajicá estará cargo de la Secretaría de Salud </w:t>
      </w:r>
      <w:r w:rsidR="009C2992">
        <w:rPr>
          <w:sz w:val="22"/>
          <w:szCs w:val="22"/>
        </w:rPr>
        <w:t xml:space="preserve">Municipal </w:t>
      </w:r>
      <w:r w:rsidRPr="00607124">
        <w:rPr>
          <w:sz w:val="22"/>
          <w:szCs w:val="22"/>
        </w:rPr>
        <w:t>a través de la Dirección de Salud Pública.</w:t>
      </w:r>
    </w:p>
    <w:p w14:paraId="22A5C09E" w14:textId="77777777" w:rsidR="00247F3C" w:rsidRPr="00607124" w:rsidRDefault="00247F3C" w:rsidP="0089134E">
      <w:pPr>
        <w:jc w:val="both"/>
        <w:rPr>
          <w:sz w:val="22"/>
          <w:szCs w:val="22"/>
        </w:rPr>
      </w:pPr>
    </w:p>
    <w:p w14:paraId="558DE614" w14:textId="07C2C37C" w:rsidR="0089134E" w:rsidRPr="00607124" w:rsidRDefault="0089134E" w:rsidP="0089134E">
      <w:pPr>
        <w:jc w:val="both"/>
        <w:rPr>
          <w:sz w:val="22"/>
          <w:szCs w:val="22"/>
        </w:rPr>
      </w:pPr>
      <w:r w:rsidRPr="00607124">
        <w:rPr>
          <w:b/>
          <w:bCs/>
          <w:sz w:val="22"/>
          <w:szCs w:val="22"/>
        </w:rPr>
        <w:t xml:space="preserve">PARAGRAFO </w:t>
      </w:r>
      <w:r w:rsidR="00D84228">
        <w:rPr>
          <w:b/>
          <w:bCs/>
          <w:sz w:val="22"/>
          <w:szCs w:val="22"/>
        </w:rPr>
        <w:t>SEGUNDO</w:t>
      </w:r>
      <w:r w:rsidRPr="00607124">
        <w:rPr>
          <w:b/>
          <w:bCs/>
          <w:sz w:val="22"/>
          <w:szCs w:val="22"/>
        </w:rPr>
        <w:t xml:space="preserve">: </w:t>
      </w:r>
      <w:r w:rsidRPr="00607124">
        <w:rPr>
          <w:sz w:val="22"/>
          <w:szCs w:val="22"/>
        </w:rPr>
        <w:t>En los casos en que proce</w:t>
      </w:r>
      <w:r w:rsidR="008034A9" w:rsidRPr="00607124">
        <w:rPr>
          <w:sz w:val="22"/>
          <w:szCs w:val="22"/>
        </w:rPr>
        <w:t>d</w:t>
      </w:r>
      <w:r w:rsidRPr="00607124">
        <w:rPr>
          <w:sz w:val="22"/>
          <w:szCs w:val="22"/>
        </w:rPr>
        <w:t>a la delegación, los representantes deberán tener la plena capacidad decisoria respecto de los asuntos de su competencia y según la entidad que representen.</w:t>
      </w:r>
    </w:p>
    <w:p w14:paraId="7A617678" w14:textId="77777777" w:rsidR="00247F3C" w:rsidRPr="00607124" w:rsidRDefault="00247F3C" w:rsidP="0089134E">
      <w:pPr>
        <w:jc w:val="both"/>
        <w:rPr>
          <w:sz w:val="22"/>
          <w:szCs w:val="22"/>
        </w:rPr>
      </w:pPr>
    </w:p>
    <w:p w14:paraId="3FC062FC" w14:textId="02FC031C" w:rsidR="0089134E" w:rsidRPr="00607124" w:rsidRDefault="0089134E" w:rsidP="0089134E">
      <w:pPr>
        <w:jc w:val="both"/>
        <w:rPr>
          <w:rFonts w:eastAsia="Times New Roman"/>
          <w:sz w:val="22"/>
          <w:szCs w:val="22"/>
          <w:lang w:eastAsia="es-MX"/>
        </w:rPr>
      </w:pPr>
      <w:r w:rsidRPr="00607124">
        <w:rPr>
          <w:b/>
          <w:bCs/>
          <w:sz w:val="22"/>
          <w:szCs w:val="22"/>
        </w:rPr>
        <w:t xml:space="preserve">PARÁGRAFO </w:t>
      </w:r>
      <w:r w:rsidR="00D84228">
        <w:rPr>
          <w:b/>
          <w:bCs/>
          <w:sz w:val="22"/>
          <w:szCs w:val="22"/>
        </w:rPr>
        <w:t>TERCERO</w:t>
      </w:r>
      <w:r w:rsidRPr="00607124">
        <w:rPr>
          <w:b/>
          <w:bCs/>
          <w:sz w:val="22"/>
          <w:szCs w:val="22"/>
        </w:rPr>
        <w:t>:</w:t>
      </w:r>
      <w:r w:rsidRPr="00607124">
        <w:rPr>
          <w:sz w:val="22"/>
          <w:szCs w:val="22"/>
        </w:rPr>
        <w:t xml:space="preserve"> Los delegados designados por cada entidad, dependencia u organización que conforma la Mesa Técnica de Enfermedades Huérfanas deberán participar de manera activa, continua y corresponsable en el desarrollo de las acciones previstas. Su compromiso será permanente durante el tiempo de implementación, con el fin de garantizar la articulación efectiva de las acciones intersectoriales y el cumplimiento de los objetivos establecidos, estos deberán asesorar técnicamente a la </w:t>
      </w:r>
      <w:r w:rsidRPr="00607124">
        <w:rPr>
          <w:rFonts w:eastAsia="Times New Roman"/>
          <w:sz w:val="22"/>
          <w:szCs w:val="22"/>
          <w:lang w:eastAsia="es-MX"/>
        </w:rPr>
        <w:t>Mesa Técnica de Enfermedades Huérfanas.</w:t>
      </w:r>
    </w:p>
    <w:p w14:paraId="636EF431" w14:textId="77777777" w:rsidR="00247F3C" w:rsidRPr="00607124" w:rsidRDefault="00247F3C" w:rsidP="0089134E">
      <w:pPr>
        <w:jc w:val="both"/>
        <w:rPr>
          <w:rFonts w:eastAsia="Times New Roman"/>
          <w:sz w:val="22"/>
          <w:szCs w:val="22"/>
          <w:lang w:eastAsia="es-MX"/>
        </w:rPr>
      </w:pPr>
    </w:p>
    <w:p w14:paraId="7DF378BF" w14:textId="50A1A72A" w:rsidR="00066116" w:rsidRPr="00607124" w:rsidRDefault="00066116" w:rsidP="00247F3C">
      <w:pPr>
        <w:jc w:val="both"/>
        <w:rPr>
          <w:sz w:val="22"/>
          <w:szCs w:val="22"/>
        </w:rPr>
      </w:pPr>
      <w:r w:rsidRPr="00607124">
        <w:rPr>
          <w:rStyle w:val="Textoennegrita"/>
          <w:sz w:val="22"/>
          <w:szCs w:val="22"/>
        </w:rPr>
        <w:t xml:space="preserve">PARÁGRAFO </w:t>
      </w:r>
      <w:r w:rsidR="00D84228">
        <w:rPr>
          <w:rStyle w:val="Textoennegrita"/>
          <w:sz w:val="22"/>
          <w:szCs w:val="22"/>
        </w:rPr>
        <w:t>CUARTO:</w:t>
      </w:r>
      <w:r w:rsidRPr="00607124">
        <w:rPr>
          <w:sz w:val="22"/>
          <w:szCs w:val="22"/>
        </w:rPr>
        <w:t xml:space="preserve"> La Secretaría de Salud Municipal adelantará las acciones necesarias para promover la participación de representantes de pacientes, cuidadores y organizaciones sociales, garantizando un enfoque de participación social en salud conforme a los principios de la Ley Estatutaria 1751 de 2015.</w:t>
      </w:r>
    </w:p>
    <w:p w14:paraId="1CF5E917" w14:textId="77777777" w:rsidR="00066116" w:rsidRPr="00607124" w:rsidRDefault="00066116" w:rsidP="00247F3C">
      <w:pPr>
        <w:jc w:val="both"/>
        <w:rPr>
          <w:rFonts w:eastAsia="Times New Roman"/>
          <w:sz w:val="22"/>
          <w:szCs w:val="22"/>
          <w:lang w:eastAsia="es-MX"/>
        </w:rPr>
      </w:pPr>
    </w:p>
    <w:p w14:paraId="6C273477" w14:textId="2B116A48" w:rsidR="00D12AC5" w:rsidRPr="00821D6C" w:rsidRDefault="00033B6F" w:rsidP="00247F3C">
      <w:pPr>
        <w:pStyle w:val="NormalWeb"/>
        <w:jc w:val="both"/>
        <w:rPr>
          <w:rFonts w:ascii="Calibri" w:hAnsi="Calibri" w:cs="Calibri"/>
          <w:sz w:val="22"/>
          <w:szCs w:val="22"/>
          <w:lang w:eastAsia="es-CO"/>
        </w:rPr>
      </w:pPr>
      <w:r w:rsidRPr="00033B6F">
        <w:rPr>
          <w:rFonts w:ascii="Calibri" w:hAnsi="Calibri" w:cs="Calibri"/>
          <w:b/>
          <w:bCs/>
          <w:sz w:val="22"/>
          <w:szCs w:val="22"/>
          <w:lang w:eastAsia="es-CO"/>
        </w:rPr>
        <w:t>ARTÍCULO</w:t>
      </w:r>
      <w:r w:rsidR="00D12AC5" w:rsidRPr="00821D6C">
        <w:rPr>
          <w:rFonts w:ascii="Calibri" w:hAnsi="Calibri" w:cs="Calibri"/>
          <w:b/>
          <w:bCs/>
          <w:sz w:val="22"/>
          <w:szCs w:val="22"/>
          <w:lang w:eastAsia="es-CO"/>
        </w:rPr>
        <w:t xml:space="preserve"> </w:t>
      </w:r>
      <w:r w:rsidR="00247F3C" w:rsidRPr="00821D6C">
        <w:rPr>
          <w:rFonts w:ascii="Calibri" w:hAnsi="Calibri" w:cs="Calibri"/>
          <w:b/>
          <w:bCs/>
          <w:sz w:val="22"/>
          <w:szCs w:val="22"/>
          <w:lang w:eastAsia="es-CO"/>
        </w:rPr>
        <w:t>QUINTO</w:t>
      </w:r>
      <w:r w:rsidR="00D12AC5" w:rsidRPr="00821D6C">
        <w:rPr>
          <w:rFonts w:ascii="Calibri" w:hAnsi="Calibri" w:cs="Calibri"/>
          <w:b/>
          <w:bCs/>
          <w:sz w:val="22"/>
          <w:szCs w:val="22"/>
          <w:lang w:eastAsia="es-CO"/>
        </w:rPr>
        <w:t>. PRINCIPIOS ORIENTADORES.</w:t>
      </w:r>
      <w:r w:rsidR="00247F3C" w:rsidRPr="00821D6C">
        <w:rPr>
          <w:rFonts w:ascii="Calibri" w:hAnsi="Calibri" w:cs="Calibri"/>
          <w:sz w:val="22"/>
          <w:szCs w:val="22"/>
          <w:lang w:eastAsia="es-CO"/>
        </w:rPr>
        <w:t xml:space="preserve"> </w:t>
      </w:r>
      <w:r w:rsidR="00D12AC5" w:rsidRPr="00821D6C">
        <w:rPr>
          <w:rFonts w:ascii="Calibri" w:hAnsi="Calibri" w:cs="Calibri"/>
          <w:sz w:val="22"/>
          <w:szCs w:val="22"/>
          <w:lang w:eastAsia="es-CO"/>
        </w:rPr>
        <w:t>La Mesa Técnica Municipal de Enfermedades Huérfanas del municipio de Cajicá orientará sus actuaciones conforme a los siguientes principios:</w:t>
      </w:r>
    </w:p>
    <w:p w14:paraId="3714AE0B" w14:textId="77777777" w:rsidR="00D12AC5" w:rsidRPr="00821D6C" w:rsidRDefault="00D12AC5" w:rsidP="00247F3C">
      <w:pPr>
        <w:spacing w:before="100" w:beforeAutospacing="1" w:after="100" w:afterAutospacing="1"/>
        <w:jc w:val="both"/>
        <w:rPr>
          <w:rFonts w:eastAsia="Times New Roman"/>
          <w:sz w:val="22"/>
          <w:szCs w:val="22"/>
          <w:lang w:eastAsia="es-CO"/>
        </w:rPr>
      </w:pPr>
      <w:r w:rsidRPr="00821D6C">
        <w:rPr>
          <w:rFonts w:eastAsia="Times New Roman"/>
          <w:b/>
          <w:bCs/>
          <w:sz w:val="22"/>
          <w:szCs w:val="22"/>
          <w:lang w:eastAsia="es-CO"/>
        </w:rPr>
        <w:t>1. Equidad:</w:t>
      </w:r>
      <w:r w:rsidRPr="00821D6C">
        <w:rPr>
          <w:rFonts w:eastAsia="Times New Roman"/>
          <w:sz w:val="22"/>
          <w:szCs w:val="22"/>
          <w:lang w:eastAsia="es-CO"/>
        </w:rPr>
        <w:t xml:space="preserve"> Garantizar condiciones de acceso diferencial y prioritario a los servicios de salud para las personas con enfermedades huérfanas o raras, reconociendo su condición de especial protección constitucional.</w:t>
      </w:r>
    </w:p>
    <w:p w14:paraId="2F65BCBB" w14:textId="77777777" w:rsidR="00D12AC5" w:rsidRPr="00821D6C" w:rsidRDefault="00D12AC5" w:rsidP="00247F3C">
      <w:pPr>
        <w:spacing w:before="100" w:beforeAutospacing="1" w:after="100" w:afterAutospacing="1"/>
        <w:jc w:val="both"/>
        <w:rPr>
          <w:rFonts w:eastAsia="Times New Roman"/>
          <w:sz w:val="22"/>
          <w:szCs w:val="22"/>
          <w:lang w:eastAsia="es-CO"/>
        </w:rPr>
      </w:pPr>
      <w:r w:rsidRPr="00821D6C">
        <w:rPr>
          <w:rFonts w:eastAsia="Times New Roman"/>
          <w:b/>
          <w:bCs/>
          <w:sz w:val="22"/>
          <w:szCs w:val="22"/>
          <w:lang w:eastAsia="es-CO"/>
        </w:rPr>
        <w:t>2. Integralidad:</w:t>
      </w:r>
      <w:r w:rsidRPr="00821D6C">
        <w:rPr>
          <w:rFonts w:eastAsia="Times New Roman"/>
          <w:sz w:val="22"/>
          <w:szCs w:val="22"/>
          <w:lang w:eastAsia="es-CO"/>
        </w:rPr>
        <w:t xml:space="preserve"> Promover la atención integral de las personas con enfermedades huérfanas o raras, incluyendo acciones de promoción de la salud, diagnóstico oportuno, tratamiento, rehabilitación, inclusión social y seguimiento continuo.</w:t>
      </w:r>
    </w:p>
    <w:p w14:paraId="6D061883" w14:textId="77777777" w:rsidR="00D12AC5" w:rsidRPr="00821D6C" w:rsidRDefault="00D12AC5" w:rsidP="00D36A0B">
      <w:pPr>
        <w:spacing w:before="100" w:beforeAutospacing="1" w:after="100" w:afterAutospacing="1"/>
        <w:jc w:val="both"/>
        <w:rPr>
          <w:rFonts w:eastAsia="Times New Roman"/>
          <w:sz w:val="22"/>
          <w:szCs w:val="22"/>
          <w:lang w:eastAsia="es-CO"/>
        </w:rPr>
      </w:pPr>
      <w:r w:rsidRPr="00821D6C">
        <w:rPr>
          <w:rFonts w:eastAsia="Times New Roman"/>
          <w:b/>
          <w:bCs/>
          <w:sz w:val="22"/>
          <w:szCs w:val="22"/>
          <w:lang w:eastAsia="es-CO"/>
        </w:rPr>
        <w:t>3. Continuidad:</w:t>
      </w:r>
      <w:r w:rsidRPr="00821D6C">
        <w:rPr>
          <w:rFonts w:eastAsia="Times New Roman"/>
          <w:sz w:val="22"/>
          <w:szCs w:val="22"/>
          <w:lang w:eastAsia="es-CO"/>
        </w:rPr>
        <w:t xml:space="preserve"> Impulsar la articulación institucional necesaria para asegurar la continuidad en la prestación de los servicios de salud requeridos por esta población.</w:t>
      </w:r>
    </w:p>
    <w:p w14:paraId="1DE75DD7" w14:textId="77777777" w:rsidR="00D12AC5" w:rsidRPr="00821D6C" w:rsidRDefault="00D12AC5" w:rsidP="00D36A0B">
      <w:pPr>
        <w:spacing w:before="100" w:beforeAutospacing="1" w:after="100" w:afterAutospacing="1"/>
        <w:jc w:val="both"/>
        <w:rPr>
          <w:rFonts w:eastAsia="Times New Roman"/>
          <w:sz w:val="22"/>
          <w:szCs w:val="22"/>
          <w:lang w:eastAsia="es-CO"/>
        </w:rPr>
      </w:pPr>
      <w:r w:rsidRPr="00821D6C">
        <w:rPr>
          <w:rFonts w:eastAsia="Times New Roman"/>
          <w:b/>
          <w:bCs/>
          <w:sz w:val="22"/>
          <w:szCs w:val="22"/>
          <w:lang w:eastAsia="es-CO"/>
        </w:rPr>
        <w:t>4. Participación social:</w:t>
      </w:r>
      <w:r w:rsidRPr="00821D6C">
        <w:rPr>
          <w:rFonts w:eastAsia="Times New Roman"/>
          <w:sz w:val="22"/>
          <w:szCs w:val="22"/>
          <w:lang w:eastAsia="es-CO"/>
        </w:rPr>
        <w:t xml:space="preserve"> Garantizar la participación activa de pacientes, cuidadores, organizaciones sociales, instituciones educativas y demás actores relevantes en los procesos de planeación, seguimiento y evaluación de las acciones adelantadas por la Mesa Técnica.</w:t>
      </w:r>
    </w:p>
    <w:p w14:paraId="5007CB82" w14:textId="77777777" w:rsidR="00D12AC5" w:rsidRPr="00821D6C" w:rsidRDefault="00D12AC5" w:rsidP="00D36A0B">
      <w:pPr>
        <w:spacing w:before="100" w:beforeAutospacing="1" w:after="100" w:afterAutospacing="1"/>
        <w:jc w:val="both"/>
        <w:rPr>
          <w:rFonts w:eastAsia="Times New Roman"/>
          <w:sz w:val="22"/>
          <w:szCs w:val="22"/>
          <w:lang w:eastAsia="es-CO"/>
        </w:rPr>
      </w:pPr>
      <w:r w:rsidRPr="00821D6C">
        <w:rPr>
          <w:rFonts w:eastAsia="Times New Roman"/>
          <w:b/>
          <w:bCs/>
          <w:sz w:val="22"/>
          <w:szCs w:val="22"/>
          <w:lang w:eastAsia="es-CO"/>
        </w:rPr>
        <w:t>5. Enfoque diferencial:</w:t>
      </w:r>
      <w:r w:rsidRPr="00821D6C">
        <w:rPr>
          <w:rFonts w:eastAsia="Times New Roman"/>
          <w:sz w:val="22"/>
          <w:szCs w:val="22"/>
          <w:lang w:eastAsia="es-CO"/>
        </w:rPr>
        <w:t xml:space="preserve"> Reconocer las condiciones particulares de las personas con enfermedades huérfanas o raras, especialmente en niños, niñas, adolescentes, personas con discapacidad y cuidadores, promoviendo acciones ajustadas a sus necesidades específicas.</w:t>
      </w:r>
    </w:p>
    <w:p w14:paraId="7ED4E700" w14:textId="4BCAE03D" w:rsidR="00155327" w:rsidRPr="00821D6C" w:rsidRDefault="00155327" w:rsidP="007A3572">
      <w:pPr>
        <w:pStyle w:val="NormalWeb"/>
        <w:jc w:val="both"/>
        <w:rPr>
          <w:rFonts w:ascii="Calibri" w:hAnsi="Calibri" w:cs="Calibri"/>
          <w:sz w:val="22"/>
          <w:szCs w:val="22"/>
          <w:lang w:eastAsia="es-CO"/>
        </w:rPr>
      </w:pPr>
      <w:r w:rsidRPr="00821D6C">
        <w:rPr>
          <w:rFonts w:ascii="Calibri" w:hAnsi="Calibri" w:cs="Calibri"/>
          <w:b/>
          <w:bCs/>
          <w:sz w:val="22"/>
          <w:szCs w:val="22"/>
          <w:lang w:eastAsia="es-CO"/>
        </w:rPr>
        <w:lastRenderedPageBreak/>
        <w:t>6. Coordinación interinstitucional:</w:t>
      </w:r>
      <w:r w:rsidRPr="00821D6C">
        <w:rPr>
          <w:rFonts w:ascii="Calibri" w:hAnsi="Calibri" w:cs="Calibri"/>
          <w:sz w:val="22"/>
          <w:szCs w:val="22"/>
          <w:lang w:eastAsia="es-CO"/>
        </w:rPr>
        <w:t xml:space="preserve"> Fortalecer la articulación entre las entidades del sector salud, educación, desarrollo social, aseguradores, prestadores y demás actores del Sistema General de Seguridad Social en Salud, con el fin de garantizar la atención integral de esta población.</w:t>
      </w:r>
    </w:p>
    <w:p w14:paraId="62E53CD5" w14:textId="5617223A" w:rsidR="006F4631" w:rsidRPr="00821D6C" w:rsidRDefault="006F4631" w:rsidP="0089134E">
      <w:pPr>
        <w:jc w:val="both"/>
        <w:rPr>
          <w:rFonts w:eastAsia="Times New Roman"/>
          <w:sz w:val="22"/>
          <w:szCs w:val="22"/>
          <w:lang w:eastAsia="es-MX"/>
        </w:rPr>
      </w:pPr>
    </w:p>
    <w:p w14:paraId="52A22F98" w14:textId="4FBD7DB6" w:rsidR="0089134E" w:rsidRPr="00821D6C" w:rsidRDefault="00033B6F" w:rsidP="0089134E">
      <w:pPr>
        <w:jc w:val="both"/>
        <w:rPr>
          <w:sz w:val="22"/>
          <w:szCs w:val="22"/>
        </w:rPr>
      </w:pPr>
      <w:r w:rsidRPr="00033B6F">
        <w:rPr>
          <w:rFonts w:eastAsia="Times New Roman"/>
          <w:b/>
          <w:bCs/>
          <w:sz w:val="22"/>
          <w:szCs w:val="22"/>
          <w:lang w:eastAsia="es-MX"/>
        </w:rPr>
        <w:t xml:space="preserve">ARTÍCULO </w:t>
      </w:r>
      <w:r w:rsidR="00247F3C" w:rsidRPr="00821D6C">
        <w:rPr>
          <w:rFonts w:eastAsia="Times New Roman"/>
          <w:b/>
          <w:bCs/>
          <w:sz w:val="22"/>
          <w:szCs w:val="22"/>
          <w:lang w:eastAsia="es-MX"/>
        </w:rPr>
        <w:t>SEXTO</w:t>
      </w:r>
      <w:r w:rsidR="0089134E" w:rsidRPr="00821D6C">
        <w:rPr>
          <w:rFonts w:eastAsia="Times New Roman"/>
          <w:b/>
          <w:bCs/>
          <w:sz w:val="22"/>
          <w:szCs w:val="22"/>
          <w:lang w:eastAsia="es-MX"/>
        </w:rPr>
        <w:t>.</w:t>
      </w:r>
      <w:r w:rsidR="0089134E" w:rsidRPr="00821D6C">
        <w:rPr>
          <w:rFonts w:eastAsia="Times New Roman"/>
          <w:sz w:val="22"/>
          <w:szCs w:val="22"/>
          <w:lang w:eastAsia="es-MX"/>
        </w:rPr>
        <w:t xml:space="preserve"> </w:t>
      </w:r>
      <w:r w:rsidR="0089134E" w:rsidRPr="00821D6C">
        <w:rPr>
          <w:sz w:val="22"/>
          <w:szCs w:val="22"/>
        </w:rPr>
        <w:t xml:space="preserve"> Los integrantes de la </w:t>
      </w:r>
      <w:r w:rsidR="0089134E" w:rsidRPr="00821D6C">
        <w:rPr>
          <w:rFonts w:eastAsia="Times New Roman"/>
          <w:sz w:val="22"/>
          <w:szCs w:val="22"/>
          <w:lang w:eastAsia="es-MX"/>
        </w:rPr>
        <w:t>Mesa Técnica de Enfermedades Huérfanas</w:t>
      </w:r>
      <w:r w:rsidR="0089134E" w:rsidRPr="00821D6C">
        <w:rPr>
          <w:sz w:val="22"/>
          <w:szCs w:val="22"/>
        </w:rPr>
        <w:t xml:space="preserve"> del Municipio de Cajicá, creada mediante el presente </w:t>
      </w:r>
      <w:r w:rsidR="00D94827" w:rsidRPr="00821D6C">
        <w:rPr>
          <w:sz w:val="22"/>
          <w:szCs w:val="22"/>
        </w:rPr>
        <w:t>decreto</w:t>
      </w:r>
      <w:r w:rsidR="0089134E" w:rsidRPr="00821D6C">
        <w:rPr>
          <w:sz w:val="22"/>
          <w:szCs w:val="22"/>
        </w:rPr>
        <w:t>, se reunirá</w:t>
      </w:r>
      <w:r w:rsidR="00EA5A0E">
        <w:rPr>
          <w:sz w:val="22"/>
          <w:szCs w:val="22"/>
        </w:rPr>
        <w:t>n</w:t>
      </w:r>
      <w:r w:rsidR="0089134E" w:rsidRPr="00821D6C">
        <w:rPr>
          <w:sz w:val="22"/>
          <w:szCs w:val="22"/>
        </w:rPr>
        <w:t xml:space="preserve"> dentro de los treinta (30) días siguientes a su entrada en vigencia para definir y aprobar su funcionamiento, además de lo anterior, se deberán tener en cuenta los siguientes parámetros: </w:t>
      </w:r>
    </w:p>
    <w:p w14:paraId="3308B016" w14:textId="77777777" w:rsidR="0089134E" w:rsidRPr="00821D6C" w:rsidRDefault="0089134E" w:rsidP="0089134E">
      <w:pPr>
        <w:jc w:val="both"/>
        <w:rPr>
          <w:sz w:val="22"/>
          <w:szCs w:val="22"/>
        </w:rPr>
      </w:pPr>
    </w:p>
    <w:p w14:paraId="6F581BF9" w14:textId="7BCEFF4F" w:rsidR="0089134E" w:rsidRPr="00821D6C" w:rsidRDefault="0089134E" w:rsidP="00821D6C">
      <w:pPr>
        <w:pStyle w:val="Prrafodelista"/>
        <w:numPr>
          <w:ilvl w:val="0"/>
          <w:numId w:val="20"/>
        </w:numPr>
        <w:jc w:val="both"/>
        <w:rPr>
          <w:sz w:val="22"/>
          <w:szCs w:val="22"/>
        </w:rPr>
      </w:pPr>
      <w:r w:rsidRPr="00821D6C">
        <w:rPr>
          <w:b/>
          <w:bCs/>
          <w:sz w:val="22"/>
          <w:szCs w:val="22"/>
        </w:rPr>
        <w:t xml:space="preserve">INSTALACIÓN: </w:t>
      </w:r>
      <w:r w:rsidR="00364160" w:rsidRPr="00821D6C">
        <w:rPr>
          <w:bCs/>
          <w:sz w:val="22"/>
          <w:szCs w:val="22"/>
        </w:rPr>
        <w:t>La Mesa Técnica</w:t>
      </w:r>
      <w:r w:rsidR="00364160">
        <w:rPr>
          <w:b/>
          <w:bCs/>
          <w:sz w:val="22"/>
          <w:szCs w:val="22"/>
        </w:rPr>
        <w:t xml:space="preserve"> </w:t>
      </w:r>
      <w:r w:rsidR="00364160">
        <w:rPr>
          <w:sz w:val="22"/>
          <w:szCs w:val="22"/>
        </w:rPr>
        <w:t>s</w:t>
      </w:r>
      <w:r w:rsidRPr="00821D6C">
        <w:rPr>
          <w:sz w:val="22"/>
          <w:szCs w:val="22"/>
        </w:rPr>
        <w:t xml:space="preserve">e </w:t>
      </w:r>
      <w:r w:rsidR="00BD67CA" w:rsidRPr="00BD67CA">
        <w:rPr>
          <w:sz w:val="22"/>
          <w:szCs w:val="22"/>
        </w:rPr>
        <w:t>instalará</w:t>
      </w:r>
      <w:r w:rsidRPr="00821D6C">
        <w:rPr>
          <w:sz w:val="22"/>
          <w:szCs w:val="22"/>
        </w:rPr>
        <w:t xml:space="preserve"> por derecho propio, a más tardar a dentro de los tres (3) me</w:t>
      </w:r>
      <w:r w:rsidR="00A97435" w:rsidRPr="00821D6C">
        <w:rPr>
          <w:sz w:val="22"/>
          <w:szCs w:val="22"/>
        </w:rPr>
        <w:t>s</w:t>
      </w:r>
      <w:r w:rsidRPr="00821D6C">
        <w:rPr>
          <w:sz w:val="22"/>
          <w:szCs w:val="22"/>
        </w:rPr>
        <w:t xml:space="preserve">es al inicio de cada nuevo periodo de </w:t>
      </w:r>
      <w:r w:rsidR="005C5A2C" w:rsidRPr="005C5A2C">
        <w:rPr>
          <w:sz w:val="22"/>
          <w:szCs w:val="22"/>
        </w:rPr>
        <w:t>g</w:t>
      </w:r>
      <w:r w:rsidRPr="00821D6C">
        <w:rPr>
          <w:sz w:val="22"/>
          <w:szCs w:val="22"/>
        </w:rPr>
        <w:t>obierno municipal.</w:t>
      </w:r>
    </w:p>
    <w:p w14:paraId="22361373" w14:textId="703C1C9C" w:rsidR="0089134E" w:rsidRPr="00821D6C" w:rsidRDefault="0089134E" w:rsidP="00821D6C">
      <w:pPr>
        <w:pStyle w:val="Prrafodelista"/>
        <w:numPr>
          <w:ilvl w:val="0"/>
          <w:numId w:val="20"/>
        </w:numPr>
        <w:jc w:val="both"/>
        <w:rPr>
          <w:sz w:val="22"/>
          <w:szCs w:val="22"/>
        </w:rPr>
      </w:pPr>
      <w:r w:rsidRPr="00821D6C">
        <w:rPr>
          <w:b/>
          <w:bCs/>
          <w:sz w:val="22"/>
          <w:szCs w:val="22"/>
        </w:rPr>
        <w:t>SEDE:</w:t>
      </w:r>
      <w:r w:rsidRPr="00821D6C">
        <w:rPr>
          <w:sz w:val="22"/>
          <w:szCs w:val="22"/>
        </w:rPr>
        <w:t xml:space="preserve"> El lugar de las sesiones será determinado por la </w:t>
      </w:r>
      <w:r w:rsidRPr="00821D6C">
        <w:rPr>
          <w:rFonts w:eastAsia="Times New Roman"/>
          <w:sz w:val="22"/>
          <w:szCs w:val="22"/>
          <w:lang w:eastAsia="es-MX"/>
        </w:rPr>
        <w:t>Mesa Técnica de Enfermedades Huérfanas</w:t>
      </w:r>
      <w:r w:rsidRPr="00821D6C">
        <w:rPr>
          <w:sz w:val="22"/>
          <w:szCs w:val="22"/>
        </w:rPr>
        <w:t xml:space="preserve">, quien </w:t>
      </w:r>
      <w:r w:rsidR="00BD67CA" w:rsidRPr="00BD67CA">
        <w:rPr>
          <w:sz w:val="22"/>
          <w:szCs w:val="22"/>
        </w:rPr>
        <w:t>informará</w:t>
      </w:r>
      <w:r w:rsidRPr="00821D6C">
        <w:rPr>
          <w:sz w:val="22"/>
          <w:szCs w:val="22"/>
        </w:rPr>
        <w:t xml:space="preserve"> oportunamente salvo que previo acuerdo de la mayoría de sus miembros y en forma ocasional decida reunirse en un lugar diferente al definido.</w:t>
      </w:r>
    </w:p>
    <w:p w14:paraId="0F94DD26" w14:textId="550DD32C" w:rsidR="0089134E" w:rsidRPr="00821D6C" w:rsidRDefault="0089134E" w:rsidP="00821D6C">
      <w:pPr>
        <w:pStyle w:val="Prrafodelista"/>
        <w:numPr>
          <w:ilvl w:val="0"/>
          <w:numId w:val="20"/>
        </w:numPr>
        <w:jc w:val="both"/>
        <w:rPr>
          <w:sz w:val="22"/>
          <w:szCs w:val="22"/>
        </w:rPr>
      </w:pPr>
      <w:r w:rsidRPr="00821D6C">
        <w:rPr>
          <w:b/>
          <w:bCs/>
          <w:sz w:val="22"/>
          <w:szCs w:val="22"/>
        </w:rPr>
        <w:t>CONVOCATORIA A REUNIONES ORDINARIAS</w:t>
      </w:r>
      <w:r w:rsidRPr="00821D6C">
        <w:rPr>
          <w:sz w:val="22"/>
          <w:szCs w:val="22"/>
        </w:rPr>
        <w:t xml:space="preserve">: </w:t>
      </w:r>
      <w:r w:rsidRPr="00821D6C">
        <w:rPr>
          <w:b/>
          <w:bCs/>
          <w:sz w:val="22"/>
          <w:szCs w:val="22"/>
        </w:rPr>
        <w:t xml:space="preserve"> </w:t>
      </w:r>
      <w:r w:rsidR="00321046" w:rsidRPr="00321046">
        <w:rPr>
          <w:sz w:val="22"/>
          <w:szCs w:val="22"/>
        </w:rPr>
        <w:t>L</w:t>
      </w:r>
      <w:r w:rsidRPr="00821D6C">
        <w:rPr>
          <w:sz w:val="22"/>
          <w:szCs w:val="22"/>
        </w:rPr>
        <w:t xml:space="preserve">a convocatoria a reuniones ordinarias se hará cada </w:t>
      </w:r>
      <w:r w:rsidR="00EA5A0E">
        <w:rPr>
          <w:sz w:val="22"/>
          <w:szCs w:val="22"/>
        </w:rPr>
        <w:t>t</w:t>
      </w:r>
      <w:r w:rsidR="00EA5A0E" w:rsidRPr="00821D6C">
        <w:rPr>
          <w:sz w:val="22"/>
          <w:szCs w:val="22"/>
        </w:rPr>
        <w:t xml:space="preserve">res </w:t>
      </w:r>
      <w:r w:rsidRPr="00821D6C">
        <w:rPr>
          <w:sz w:val="22"/>
          <w:szCs w:val="22"/>
        </w:rPr>
        <w:t>(3) meses por citación esc</w:t>
      </w:r>
      <w:r w:rsidR="00CA634F" w:rsidRPr="00821D6C">
        <w:rPr>
          <w:sz w:val="22"/>
          <w:szCs w:val="22"/>
        </w:rPr>
        <w:t>r</w:t>
      </w:r>
      <w:r w:rsidRPr="00821D6C">
        <w:rPr>
          <w:sz w:val="22"/>
          <w:szCs w:val="22"/>
        </w:rPr>
        <w:t>ita de la Secretar</w:t>
      </w:r>
      <w:r w:rsidR="00FE377F">
        <w:rPr>
          <w:sz w:val="22"/>
          <w:szCs w:val="22"/>
        </w:rPr>
        <w:t>í</w:t>
      </w:r>
      <w:r w:rsidRPr="00821D6C">
        <w:rPr>
          <w:sz w:val="22"/>
          <w:szCs w:val="22"/>
        </w:rPr>
        <w:t xml:space="preserve">a de la </w:t>
      </w:r>
      <w:r w:rsidRPr="00821D6C">
        <w:rPr>
          <w:rFonts w:eastAsia="Times New Roman"/>
          <w:sz w:val="22"/>
          <w:szCs w:val="22"/>
          <w:lang w:eastAsia="es-MX"/>
        </w:rPr>
        <w:t>Mesa Técnica de Enfermedades Huérfanas</w:t>
      </w:r>
      <w:r w:rsidRPr="00821D6C">
        <w:rPr>
          <w:sz w:val="22"/>
          <w:szCs w:val="22"/>
        </w:rPr>
        <w:t xml:space="preserve">, esta deberá ser enviada a los integrantes dentro de los cinco (5) días hábiles de antelación de la fecha prevista para la celebración de la reunión, la cual deberá ir acompañada del orden del día y copia de aquellos documentos que sean necesarios para el estudio de los temas a tratar.  </w:t>
      </w:r>
    </w:p>
    <w:p w14:paraId="5CF4C163" w14:textId="422A485E" w:rsidR="0089134E" w:rsidRPr="00821D6C" w:rsidRDefault="0089134E" w:rsidP="00821D6C">
      <w:pPr>
        <w:pStyle w:val="Prrafodelista"/>
        <w:numPr>
          <w:ilvl w:val="0"/>
          <w:numId w:val="20"/>
        </w:numPr>
        <w:jc w:val="both"/>
        <w:rPr>
          <w:sz w:val="22"/>
          <w:szCs w:val="22"/>
        </w:rPr>
      </w:pPr>
      <w:r w:rsidRPr="00821D6C">
        <w:rPr>
          <w:b/>
          <w:bCs/>
          <w:sz w:val="22"/>
          <w:szCs w:val="22"/>
        </w:rPr>
        <w:t>CONVOCATORIA A REUNIONES EXTRAORDINARIAS:</w:t>
      </w:r>
      <w:r w:rsidRPr="00821D6C">
        <w:rPr>
          <w:bCs/>
          <w:sz w:val="22"/>
          <w:szCs w:val="22"/>
        </w:rPr>
        <w:t xml:space="preserve"> </w:t>
      </w:r>
      <w:r w:rsidR="005C5A2C" w:rsidRPr="00821D6C">
        <w:rPr>
          <w:bCs/>
          <w:sz w:val="22"/>
          <w:szCs w:val="22"/>
        </w:rPr>
        <w:t>Se realizarán sesiones extraordinarias cuando las necesidades del servicio lo requieran, por citación de la Secretaría Técnica, a solicitud del Presidente.</w:t>
      </w:r>
      <w:r w:rsidR="005C5A2C">
        <w:rPr>
          <w:b/>
          <w:bCs/>
          <w:sz w:val="22"/>
          <w:szCs w:val="22"/>
        </w:rPr>
        <w:t xml:space="preserve"> </w:t>
      </w:r>
      <w:r w:rsidR="005C5A2C" w:rsidRPr="005C5A2C">
        <w:rPr>
          <w:b/>
          <w:bCs/>
          <w:sz w:val="22"/>
          <w:szCs w:val="22"/>
        </w:rPr>
        <w:t xml:space="preserve"> </w:t>
      </w:r>
    </w:p>
    <w:p w14:paraId="34ABD0DA" w14:textId="77777777" w:rsidR="0089134E" w:rsidRPr="00821D6C" w:rsidRDefault="0089134E" w:rsidP="00821D6C">
      <w:pPr>
        <w:pStyle w:val="Prrafodelista"/>
        <w:numPr>
          <w:ilvl w:val="0"/>
          <w:numId w:val="20"/>
        </w:numPr>
        <w:jc w:val="both"/>
        <w:rPr>
          <w:sz w:val="22"/>
          <w:szCs w:val="22"/>
        </w:rPr>
      </w:pPr>
      <w:r w:rsidRPr="00821D6C">
        <w:rPr>
          <w:b/>
          <w:bCs/>
          <w:sz w:val="22"/>
          <w:szCs w:val="22"/>
        </w:rPr>
        <w:t xml:space="preserve">ACTAS: </w:t>
      </w:r>
      <w:r w:rsidRPr="00821D6C">
        <w:rPr>
          <w:sz w:val="22"/>
          <w:szCs w:val="22"/>
        </w:rPr>
        <w:t xml:space="preserve">De toda reunión ordinaria y extraordinaria se elevará un acta en la cual constarán las decisiones que allí se adopten, y deberá indicarse la ciudad y lugar de la reunión, la forma en que haya sido convocada, quién convocó y fecha de la misma, la lista de los integrantes asistentes, el número de votos con que fue negada o aprobada una decisión. Las actas deberán ser aprobadas por la </w:t>
      </w:r>
      <w:r w:rsidRPr="00821D6C">
        <w:rPr>
          <w:rFonts w:eastAsia="Times New Roman"/>
          <w:sz w:val="22"/>
          <w:szCs w:val="22"/>
          <w:lang w:eastAsia="es-MX"/>
        </w:rPr>
        <w:t>Mesa Técnica de Enfermedades Huérfanas</w:t>
      </w:r>
      <w:r w:rsidRPr="00821D6C">
        <w:rPr>
          <w:sz w:val="22"/>
          <w:szCs w:val="22"/>
        </w:rPr>
        <w:t xml:space="preserve"> y firmadas por el presidente y la Secretaría Técnica, dichas actas deberán ser enviadas a solicitud de cada uno de los integrantes. </w:t>
      </w:r>
    </w:p>
    <w:p w14:paraId="3E780586" w14:textId="23ABB142" w:rsidR="0089134E" w:rsidRPr="00821D6C" w:rsidRDefault="0089134E" w:rsidP="00821D6C">
      <w:pPr>
        <w:pStyle w:val="Prrafodelista"/>
        <w:numPr>
          <w:ilvl w:val="0"/>
          <w:numId w:val="20"/>
        </w:numPr>
        <w:jc w:val="both"/>
        <w:rPr>
          <w:sz w:val="22"/>
          <w:szCs w:val="22"/>
        </w:rPr>
      </w:pPr>
      <w:r w:rsidRPr="00821D6C">
        <w:rPr>
          <w:b/>
          <w:bCs/>
          <w:sz w:val="22"/>
          <w:szCs w:val="22"/>
        </w:rPr>
        <w:t>ORDEN DEL DÍA</w:t>
      </w:r>
      <w:r w:rsidRPr="00821D6C">
        <w:rPr>
          <w:sz w:val="22"/>
          <w:szCs w:val="22"/>
        </w:rPr>
        <w:t xml:space="preserve">: Al iniciar la sesión el (la) secretario(a) someterá a consideración el Proyecto del Orden del día enviado con la convocatoria, y una vez aprobado se deberá ceñir a este y </w:t>
      </w:r>
      <w:r w:rsidR="002561A8" w:rsidRPr="002561A8">
        <w:rPr>
          <w:sz w:val="22"/>
          <w:szCs w:val="22"/>
        </w:rPr>
        <w:t>s</w:t>
      </w:r>
      <w:r w:rsidRPr="00821D6C">
        <w:rPr>
          <w:sz w:val="22"/>
          <w:szCs w:val="22"/>
        </w:rPr>
        <w:t>ólo por razones justificadas y con el voto mayoritario de los miembros asistentes podrá ser alterado o suprimido alguno de los puntos.</w:t>
      </w:r>
    </w:p>
    <w:p w14:paraId="1D78C6B7" w14:textId="77777777" w:rsidR="0089134E" w:rsidRPr="00821D6C" w:rsidRDefault="0089134E" w:rsidP="00821D6C">
      <w:pPr>
        <w:pStyle w:val="Prrafodelista"/>
        <w:numPr>
          <w:ilvl w:val="0"/>
          <w:numId w:val="20"/>
        </w:numPr>
        <w:jc w:val="both"/>
        <w:rPr>
          <w:sz w:val="22"/>
          <w:szCs w:val="22"/>
        </w:rPr>
      </w:pPr>
      <w:r w:rsidRPr="00821D6C">
        <w:rPr>
          <w:b/>
          <w:bCs/>
          <w:sz w:val="22"/>
          <w:szCs w:val="22"/>
        </w:rPr>
        <w:t>INTERVENCIONES</w:t>
      </w:r>
      <w:r w:rsidRPr="00821D6C">
        <w:rPr>
          <w:sz w:val="22"/>
          <w:szCs w:val="22"/>
        </w:rPr>
        <w:t>: las intervenciones de los asistentes a las sesiones ordinarias o extraordinarias deberán concretarse a los asuntos que estén discutiendo. La Sesión se regirá por los procedimientos y técnicas del debate usualmente aceptadas y garantizando la participación democrática de los asistentes.</w:t>
      </w:r>
    </w:p>
    <w:p w14:paraId="3D6C1693" w14:textId="77777777" w:rsidR="0089134E" w:rsidRPr="00821D6C" w:rsidRDefault="0089134E" w:rsidP="00821D6C">
      <w:pPr>
        <w:pStyle w:val="Prrafodelista"/>
        <w:numPr>
          <w:ilvl w:val="0"/>
          <w:numId w:val="20"/>
        </w:numPr>
        <w:jc w:val="both"/>
        <w:rPr>
          <w:sz w:val="22"/>
          <w:szCs w:val="22"/>
        </w:rPr>
      </w:pPr>
      <w:r w:rsidRPr="00821D6C">
        <w:rPr>
          <w:b/>
          <w:bCs/>
          <w:sz w:val="22"/>
          <w:szCs w:val="22"/>
        </w:rPr>
        <w:t>CALENDARIO DE REUNIONES:</w:t>
      </w:r>
      <w:r w:rsidRPr="00821D6C">
        <w:rPr>
          <w:sz w:val="22"/>
          <w:szCs w:val="22"/>
        </w:rPr>
        <w:t xml:space="preserve"> Se acordará el calendario de reuniones fijas, con horario y fechas durante el año; la Secretaría Técnica entregará por escrito a cada integrante copia de este, sin perjuicio de las citaciones previas a cada reunión.</w:t>
      </w:r>
    </w:p>
    <w:p w14:paraId="76AAD2CD" w14:textId="77777777" w:rsidR="0089134E" w:rsidRPr="00821D6C" w:rsidRDefault="0089134E" w:rsidP="00821D6C">
      <w:pPr>
        <w:pStyle w:val="Prrafodelista"/>
        <w:numPr>
          <w:ilvl w:val="0"/>
          <w:numId w:val="20"/>
        </w:numPr>
        <w:jc w:val="both"/>
        <w:rPr>
          <w:sz w:val="22"/>
          <w:szCs w:val="22"/>
        </w:rPr>
      </w:pPr>
      <w:r w:rsidRPr="00821D6C">
        <w:rPr>
          <w:b/>
          <w:bCs/>
          <w:sz w:val="22"/>
          <w:szCs w:val="22"/>
        </w:rPr>
        <w:t>INASISTENCIA:</w:t>
      </w:r>
      <w:r w:rsidRPr="00821D6C">
        <w:rPr>
          <w:sz w:val="22"/>
          <w:szCs w:val="22"/>
        </w:rPr>
        <w:t xml:space="preserve"> Los integrantes que no puedan asistir deberán manifestarlo por escrito antes de iniciar la reunión correspondiente, a fin de dejar constancia en el acta respectiva.</w:t>
      </w:r>
    </w:p>
    <w:p w14:paraId="1265F4AB" w14:textId="4A7832A3" w:rsidR="0089134E" w:rsidRPr="00821D6C" w:rsidRDefault="0089134E" w:rsidP="00821D6C">
      <w:pPr>
        <w:pStyle w:val="Prrafodelista"/>
        <w:numPr>
          <w:ilvl w:val="0"/>
          <w:numId w:val="20"/>
        </w:numPr>
        <w:jc w:val="both"/>
        <w:rPr>
          <w:sz w:val="22"/>
          <w:szCs w:val="22"/>
        </w:rPr>
      </w:pPr>
      <w:r w:rsidRPr="00821D6C">
        <w:rPr>
          <w:b/>
          <w:bCs/>
          <w:sz w:val="22"/>
          <w:szCs w:val="22"/>
        </w:rPr>
        <w:t>QUÓRUM</w:t>
      </w:r>
      <w:r w:rsidRPr="00821D6C">
        <w:rPr>
          <w:sz w:val="22"/>
          <w:szCs w:val="22"/>
        </w:rPr>
        <w:t>: Sesionará con la asistencia de un mínimo del 50% más uno de los miembros</w:t>
      </w:r>
      <w:r w:rsidR="00EA5A0E">
        <w:rPr>
          <w:sz w:val="22"/>
          <w:szCs w:val="22"/>
        </w:rPr>
        <w:t xml:space="preserve"> de la Mesa Técnica</w:t>
      </w:r>
      <w:r w:rsidRPr="00821D6C">
        <w:rPr>
          <w:sz w:val="22"/>
          <w:szCs w:val="22"/>
        </w:rPr>
        <w:t xml:space="preserve"> . La última verificación del Quórum se llevará a cabo treinta (30) minutos después de citada la hora ordinaria. Tiempo después, el cual, si no se lograra el Quórum, se citará a nueva reunión.</w:t>
      </w:r>
    </w:p>
    <w:p w14:paraId="6C67F0B3" w14:textId="6AF21F61" w:rsidR="0089134E" w:rsidRPr="00821D6C" w:rsidRDefault="0089134E" w:rsidP="00821D6C">
      <w:pPr>
        <w:pStyle w:val="Prrafodelista"/>
        <w:numPr>
          <w:ilvl w:val="0"/>
          <w:numId w:val="20"/>
        </w:numPr>
        <w:jc w:val="both"/>
        <w:rPr>
          <w:sz w:val="22"/>
          <w:szCs w:val="22"/>
        </w:rPr>
      </w:pPr>
      <w:r w:rsidRPr="00821D6C">
        <w:rPr>
          <w:b/>
          <w:bCs/>
          <w:sz w:val="22"/>
          <w:szCs w:val="22"/>
        </w:rPr>
        <w:t>SANCIONES:</w:t>
      </w:r>
      <w:r w:rsidRPr="00821D6C">
        <w:rPr>
          <w:sz w:val="22"/>
          <w:szCs w:val="22"/>
        </w:rPr>
        <w:t xml:space="preserve"> La inasistencia a dos (2) reuniones continuas de servidores públicos, sin justa causa, será informada a </w:t>
      </w:r>
      <w:r w:rsidR="004357EA">
        <w:rPr>
          <w:sz w:val="22"/>
          <w:szCs w:val="22"/>
        </w:rPr>
        <w:t xml:space="preserve">la </w:t>
      </w:r>
      <w:r w:rsidR="004357EA" w:rsidRPr="004357EA">
        <w:rPr>
          <w:sz w:val="22"/>
          <w:szCs w:val="22"/>
        </w:rPr>
        <w:t>Oficina de Control Interno Disciplinario de la Alcaldía</w:t>
      </w:r>
      <w:r w:rsidRPr="00821D6C">
        <w:rPr>
          <w:sz w:val="22"/>
          <w:szCs w:val="22"/>
        </w:rPr>
        <w:t xml:space="preserve"> para adelantar las actuaciones pertinentes; y en caso de los representantes de entidades de carácter privado, se informará a los directivos de estas para realizar los ajustes correspondientes, sugiriendo la sustitución del representante, a efecto que se garantice la participación de estas entidades.</w:t>
      </w:r>
    </w:p>
    <w:p w14:paraId="6A8A0626" w14:textId="457760C7" w:rsidR="0089134E" w:rsidRPr="00821D6C" w:rsidRDefault="00DD4040" w:rsidP="00821D6C">
      <w:pPr>
        <w:pStyle w:val="Prrafodelista"/>
        <w:numPr>
          <w:ilvl w:val="0"/>
          <w:numId w:val="20"/>
        </w:numPr>
        <w:jc w:val="both"/>
        <w:rPr>
          <w:sz w:val="22"/>
          <w:szCs w:val="22"/>
        </w:rPr>
      </w:pPr>
      <w:r w:rsidRPr="00DD4040">
        <w:rPr>
          <w:b/>
          <w:bCs/>
          <w:sz w:val="22"/>
          <w:szCs w:val="22"/>
        </w:rPr>
        <w:lastRenderedPageBreak/>
        <w:t>ACTOS ADMINISTRATIVOS</w:t>
      </w:r>
      <w:r w:rsidRPr="00DD4040">
        <w:rPr>
          <w:sz w:val="22"/>
          <w:szCs w:val="22"/>
        </w:rPr>
        <w:t xml:space="preserve">: </w:t>
      </w:r>
      <w:r w:rsidR="0089134E" w:rsidRPr="00821D6C">
        <w:rPr>
          <w:sz w:val="22"/>
          <w:szCs w:val="22"/>
        </w:rPr>
        <w:t>Las decisiones se expedirán a través de resoluciones que deberán llevar la firma del presidente, en las cuales se impartan directrices relacionadas con los temas inherentes.</w:t>
      </w:r>
    </w:p>
    <w:p w14:paraId="4C1ADB36" w14:textId="77777777" w:rsidR="0089134E" w:rsidRPr="00821D6C" w:rsidRDefault="0089134E" w:rsidP="0089134E">
      <w:pPr>
        <w:jc w:val="both"/>
        <w:rPr>
          <w:sz w:val="22"/>
          <w:szCs w:val="22"/>
        </w:rPr>
      </w:pPr>
    </w:p>
    <w:p w14:paraId="3D5886AD" w14:textId="19746E05" w:rsidR="0089134E" w:rsidRPr="00821D6C" w:rsidRDefault="00BD67CA" w:rsidP="0089134E">
      <w:pPr>
        <w:jc w:val="both"/>
        <w:rPr>
          <w:sz w:val="22"/>
          <w:szCs w:val="22"/>
        </w:rPr>
      </w:pPr>
      <w:r w:rsidRPr="00BD67CA">
        <w:rPr>
          <w:b/>
          <w:bCs/>
          <w:sz w:val="22"/>
          <w:szCs w:val="22"/>
        </w:rPr>
        <w:t>PARÁGRAFO ÚNICO:</w:t>
      </w:r>
      <w:r w:rsidRPr="00BD67CA">
        <w:rPr>
          <w:sz w:val="22"/>
          <w:szCs w:val="22"/>
        </w:rPr>
        <w:t xml:space="preserve"> </w:t>
      </w:r>
      <w:r w:rsidR="0089134E" w:rsidRPr="00821D6C">
        <w:rPr>
          <w:sz w:val="22"/>
          <w:szCs w:val="22"/>
        </w:rPr>
        <w:t xml:space="preserve">La </w:t>
      </w:r>
      <w:r w:rsidR="0089134E" w:rsidRPr="00821D6C">
        <w:rPr>
          <w:rFonts w:eastAsia="Times New Roman"/>
          <w:sz w:val="22"/>
          <w:szCs w:val="22"/>
          <w:lang w:eastAsia="es-MX"/>
        </w:rPr>
        <w:t>Mesa Técnica de Enfermedades Huérfanas</w:t>
      </w:r>
      <w:r w:rsidR="0089134E" w:rsidRPr="00821D6C">
        <w:rPr>
          <w:sz w:val="22"/>
          <w:szCs w:val="22"/>
        </w:rPr>
        <w:t xml:space="preserve"> podrá invitar</w:t>
      </w:r>
      <w:r w:rsidR="00CE0824">
        <w:rPr>
          <w:sz w:val="22"/>
          <w:szCs w:val="22"/>
        </w:rPr>
        <w:t xml:space="preserve"> a sus sesiones</w:t>
      </w:r>
      <w:r w:rsidR="0089134E" w:rsidRPr="00821D6C">
        <w:rPr>
          <w:sz w:val="22"/>
          <w:szCs w:val="22"/>
        </w:rPr>
        <w:t>,</w:t>
      </w:r>
      <w:r w:rsidR="00CE0824">
        <w:rPr>
          <w:sz w:val="22"/>
          <w:szCs w:val="22"/>
        </w:rPr>
        <w:t xml:space="preserve"> </w:t>
      </w:r>
      <w:r w:rsidR="00CE0824">
        <w:t xml:space="preserve">con voz pero sin voto, </w:t>
      </w:r>
      <w:r w:rsidR="0089134E" w:rsidRPr="00821D6C">
        <w:rPr>
          <w:sz w:val="22"/>
          <w:szCs w:val="22"/>
        </w:rPr>
        <w:t>de manera temporal o permanente a otras entidades, organizaciones o personas naturales o jurídicas cuya experiencia, conocimientos sean relevantes para el desarrollo y toma de decisiones.</w:t>
      </w:r>
    </w:p>
    <w:p w14:paraId="08336F72" w14:textId="480160CA" w:rsidR="0089134E" w:rsidRPr="00821D6C" w:rsidRDefault="00BD67CA" w:rsidP="0089134E">
      <w:pPr>
        <w:pStyle w:val="p1"/>
        <w:jc w:val="both"/>
        <w:rPr>
          <w:rFonts w:ascii="Calibri" w:hAnsi="Calibri" w:cs="Calibri"/>
          <w:sz w:val="22"/>
          <w:szCs w:val="22"/>
        </w:rPr>
      </w:pPr>
      <w:r w:rsidRPr="00BE17C8">
        <w:rPr>
          <w:rFonts w:ascii="Calibri" w:hAnsi="Calibri" w:cs="Calibri"/>
          <w:b/>
          <w:bCs/>
          <w:sz w:val="22"/>
          <w:szCs w:val="22"/>
        </w:rPr>
        <w:t>ARTÍ</w:t>
      </w:r>
      <w:r w:rsidRPr="001E424C">
        <w:rPr>
          <w:rFonts w:ascii="Calibri" w:hAnsi="Calibri" w:cs="Calibri"/>
          <w:b/>
          <w:bCs/>
          <w:sz w:val="22"/>
          <w:szCs w:val="22"/>
        </w:rPr>
        <w:t>CULO S</w:t>
      </w:r>
      <w:r w:rsidRPr="001129AF">
        <w:rPr>
          <w:rFonts w:ascii="Calibri" w:hAnsi="Calibri" w:cs="Calibri"/>
          <w:b/>
          <w:bCs/>
          <w:sz w:val="22"/>
          <w:szCs w:val="22"/>
        </w:rPr>
        <w:t>ÉPTIMO:</w:t>
      </w:r>
      <w:r w:rsidRPr="00BD67CA">
        <w:rPr>
          <w:rFonts w:ascii="Calibri" w:hAnsi="Calibri" w:cs="Calibri"/>
          <w:sz w:val="22"/>
          <w:szCs w:val="22"/>
        </w:rPr>
        <w:t xml:space="preserve"> </w:t>
      </w:r>
      <w:r w:rsidR="0089134E" w:rsidRPr="00821D6C">
        <w:rPr>
          <w:rFonts w:ascii="Calibri" w:hAnsi="Calibri" w:cs="Calibri"/>
          <w:sz w:val="22"/>
          <w:szCs w:val="22"/>
        </w:rPr>
        <w:t xml:space="preserve">La Mesa Técnica de Enfermedades Huérfanas del </w:t>
      </w:r>
      <w:r w:rsidR="006D6F86" w:rsidRPr="006D6F86">
        <w:rPr>
          <w:rFonts w:ascii="Calibri" w:hAnsi="Calibri" w:cs="Calibri"/>
          <w:sz w:val="22"/>
          <w:szCs w:val="22"/>
        </w:rPr>
        <w:t>M</w:t>
      </w:r>
      <w:r w:rsidR="0089134E" w:rsidRPr="00821D6C">
        <w:rPr>
          <w:rFonts w:ascii="Calibri" w:hAnsi="Calibri" w:cs="Calibri"/>
          <w:sz w:val="22"/>
          <w:szCs w:val="22"/>
        </w:rPr>
        <w:t>unicipio de Cajicá ejercerá, en el marco de sus competencias y conforme a la normatividad vigente, las siguientes funciones:</w:t>
      </w:r>
    </w:p>
    <w:p w14:paraId="38471EAA" w14:textId="77777777" w:rsidR="0089134E" w:rsidRPr="00821D6C" w:rsidRDefault="0089134E" w:rsidP="0089134E">
      <w:pPr>
        <w:pStyle w:val="p1"/>
        <w:numPr>
          <w:ilvl w:val="0"/>
          <w:numId w:val="19"/>
        </w:numPr>
        <w:jc w:val="both"/>
        <w:rPr>
          <w:rFonts w:ascii="Calibri" w:hAnsi="Calibri" w:cs="Calibri"/>
          <w:sz w:val="22"/>
          <w:szCs w:val="22"/>
        </w:rPr>
      </w:pPr>
      <w:r w:rsidRPr="00821D6C">
        <w:rPr>
          <w:rFonts w:ascii="Calibri" w:hAnsi="Calibri" w:cs="Calibri"/>
          <w:b/>
          <w:bCs/>
          <w:sz w:val="22"/>
          <w:szCs w:val="22"/>
        </w:rPr>
        <w:t xml:space="preserve">Identificación y caracterización poblacional: </w:t>
      </w:r>
      <w:r w:rsidRPr="00821D6C">
        <w:rPr>
          <w:rFonts w:ascii="Calibri" w:hAnsi="Calibri" w:cs="Calibri"/>
          <w:sz w:val="22"/>
          <w:szCs w:val="22"/>
        </w:rPr>
        <w:t>Identificar, consolidar y actualizar la información relacionada con la población diagnosticada con enfermedades huérfanas o raras en el municipio de Cajicá, mediante el análisis de fuentes oficiales, registros administrativos y sistemas de información en salud, con el propósito de generar insumos técnicos para la toma de decisiones.</w:t>
      </w:r>
    </w:p>
    <w:p w14:paraId="1B7026B8" w14:textId="77777777" w:rsidR="0089134E" w:rsidRPr="00821D6C" w:rsidRDefault="0089134E" w:rsidP="0089134E">
      <w:pPr>
        <w:pStyle w:val="p1"/>
        <w:numPr>
          <w:ilvl w:val="0"/>
          <w:numId w:val="19"/>
        </w:numPr>
        <w:jc w:val="both"/>
        <w:rPr>
          <w:rFonts w:ascii="Calibri" w:hAnsi="Calibri" w:cs="Calibri"/>
          <w:sz w:val="22"/>
          <w:szCs w:val="22"/>
        </w:rPr>
      </w:pPr>
      <w:r w:rsidRPr="00821D6C">
        <w:rPr>
          <w:rFonts w:ascii="Calibri" w:hAnsi="Calibri" w:cs="Calibri"/>
          <w:b/>
          <w:bCs/>
          <w:sz w:val="22"/>
          <w:szCs w:val="22"/>
        </w:rPr>
        <w:t xml:space="preserve">Instancia consultiva y asesora: </w:t>
      </w:r>
      <w:r w:rsidRPr="00821D6C">
        <w:rPr>
          <w:rFonts w:ascii="Calibri" w:hAnsi="Calibri" w:cs="Calibri"/>
          <w:sz w:val="22"/>
          <w:szCs w:val="22"/>
        </w:rPr>
        <w:t>Actuar como instancia técnica de consulta, asesoría y apoyo para la formulación, implementación, evaluación y seguimiento de políticas públicas, planes, programas y proyectos relacionados con la atención integral de las enfermedades huérfanas en el ámbito municipal.</w:t>
      </w:r>
    </w:p>
    <w:p w14:paraId="388A14D8" w14:textId="77777777" w:rsidR="0089134E" w:rsidRPr="00821D6C" w:rsidRDefault="0089134E" w:rsidP="0089134E">
      <w:pPr>
        <w:pStyle w:val="p1"/>
        <w:numPr>
          <w:ilvl w:val="0"/>
          <w:numId w:val="19"/>
        </w:numPr>
        <w:jc w:val="both"/>
        <w:rPr>
          <w:rFonts w:ascii="Calibri" w:hAnsi="Calibri" w:cs="Calibri"/>
          <w:sz w:val="22"/>
          <w:szCs w:val="22"/>
        </w:rPr>
      </w:pPr>
      <w:r w:rsidRPr="00821D6C">
        <w:rPr>
          <w:rFonts w:ascii="Calibri" w:hAnsi="Calibri" w:cs="Calibri"/>
          <w:b/>
          <w:bCs/>
          <w:sz w:val="22"/>
          <w:szCs w:val="22"/>
        </w:rPr>
        <w:t xml:space="preserve">Articulación interinstitucional e intersectorial: </w:t>
      </w:r>
      <w:r w:rsidRPr="00821D6C">
        <w:rPr>
          <w:rFonts w:ascii="Calibri" w:hAnsi="Calibri" w:cs="Calibri"/>
          <w:sz w:val="22"/>
          <w:szCs w:val="22"/>
        </w:rPr>
        <w:t>Promover, fortalecer y coordinar la articulación entre las entidades del sector salud, las Instituciones Prestadoras de Servicios de Salud (IPS), las Entidades Promotoras de Salud (EPS), la Secretaría Municipal de Salud, así como con los sectores educativo, social y demás actores públicos y privados, con el fin de garantizar la continuidad, integralidad y oportunidad en la atención de las personas con enfermedades huérfanas.</w:t>
      </w:r>
    </w:p>
    <w:p w14:paraId="244E7E8F" w14:textId="77777777" w:rsidR="0089134E" w:rsidRPr="00821D6C" w:rsidRDefault="0089134E" w:rsidP="0089134E">
      <w:pPr>
        <w:pStyle w:val="p1"/>
        <w:numPr>
          <w:ilvl w:val="0"/>
          <w:numId w:val="19"/>
        </w:numPr>
        <w:jc w:val="both"/>
        <w:rPr>
          <w:rFonts w:ascii="Calibri" w:hAnsi="Calibri" w:cs="Calibri"/>
          <w:sz w:val="22"/>
          <w:szCs w:val="22"/>
        </w:rPr>
      </w:pPr>
      <w:r w:rsidRPr="00821D6C">
        <w:rPr>
          <w:rFonts w:ascii="Calibri" w:hAnsi="Calibri" w:cs="Calibri"/>
          <w:b/>
          <w:bCs/>
          <w:sz w:val="22"/>
          <w:szCs w:val="22"/>
        </w:rPr>
        <w:t xml:space="preserve">Formulación del plan de trabajo: </w:t>
      </w:r>
      <w:r w:rsidRPr="00821D6C">
        <w:rPr>
          <w:rFonts w:ascii="Calibri" w:hAnsi="Calibri" w:cs="Calibri"/>
          <w:sz w:val="22"/>
          <w:szCs w:val="22"/>
        </w:rPr>
        <w:t>Formular, adoptar y actualizar el plan de trabajo anual de la Mesa Técnica, el cual deberá contemplar estrategias, acciones, indicadores de seguimiento y mecanismos de evaluación, incluyendo actividades de divulgación, sensibilización y educación sobre las enfermedades huérfanas o raras, en armonía con la normatividad vigente y los lineamientos del Plan Nacional de Gestión de Enfermedades Huérfanas.</w:t>
      </w:r>
    </w:p>
    <w:p w14:paraId="7259F07D" w14:textId="77777777" w:rsidR="0089134E" w:rsidRPr="00821D6C" w:rsidRDefault="0089134E" w:rsidP="0089134E">
      <w:pPr>
        <w:pStyle w:val="p1"/>
        <w:numPr>
          <w:ilvl w:val="0"/>
          <w:numId w:val="19"/>
        </w:numPr>
        <w:jc w:val="both"/>
        <w:rPr>
          <w:rFonts w:ascii="Calibri" w:hAnsi="Calibri" w:cs="Calibri"/>
          <w:sz w:val="22"/>
          <w:szCs w:val="22"/>
        </w:rPr>
      </w:pPr>
      <w:r w:rsidRPr="00821D6C">
        <w:rPr>
          <w:rFonts w:ascii="Calibri" w:hAnsi="Calibri" w:cs="Calibri"/>
          <w:b/>
          <w:bCs/>
          <w:sz w:val="22"/>
          <w:szCs w:val="22"/>
        </w:rPr>
        <w:t xml:space="preserve">Seguimiento y evaluación: </w:t>
      </w:r>
      <w:r w:rsidRPr="00821D6C">
        <w:rPr>
          <w:rFonts w:ascii="Calibri" w:hAnsi="Calibri" w:cs="Calibri"/>
          <w:sz w:val="22"/>
          <w:szCs w:val="22"/>
        </w:rPr>
        <w:t>Realizar seguimiento periódico a la ejecución del plan de trabajo, evaluar sus resultados e impactos, y proponer acciones correctivas y de mejora continua que permitan el cumplimiento efectivo de los objetivos y metas establecidos.</w:t>
      </w:r>
    </w:p>
    <w:p w14:paraId="7F6BE29E" w14:textId="77777777" w:rsidR="0089134E" w:rsidRPr="00821D6C" w:rsidRDefault="0089134E" w:rsidP="0089134E">
      <w:pPr>
        <w:pStyle w:val="p1"/>
        <w:numPr>
          <w:ilvl w:val="0"/>
          <w:numId w:val="19"/>
        </w:numPr>
        <w:jc w:val="both"/>
        <w:rPr>
          <w:rFonts w:ascii="Calibri" w:hAnsi="Calibri" w:cs="Calibri"/>
          <w:sz w:val="22"/>
          <w:szCs w:val="22"/>
        </w:rPr>
      </w:pPr>
      <w:r w:rsidRPr="00821D6C">
        <w:rPr>
          <w:rFonts w:ascii="Calibri" w:hAnsi="Calibri" w:cs="Calibri"/>
          <w:b/>
          <w:bCs/>
          <w:sz w:val="22"/>
          <w:szCs w:val="22"/>
        </w:rPr>
        <w:t xml:space="preserve">Educación y fortalecimiento de capacidades: </w:t>
      </w:r>
      <w:r w:rsidRPr="00821D6C">
        <w:rPr>
          <w:rFonts w:ascii="Calibri" w:hAnsi="Calibri" w:cs="Calibri"/>
          <w:sz w:val="22"/>
          <w:szCs w:val="22"/>
        </w:rPr>
        <w:t>Fomentar procesos permanentes de educación, sensibilización y capacitación dirigidos a la comunidad en general, cuidadores, familias y talento humano en salud, orientados al reconocimiento, manejo y atención integral de las enfermedades huérfanas.</w:t>
      </w:r>
    </w:p>
    <w:p w14:paraId="68E1C74D" w14:textId="77777777" w:rsidR="0089134E" w:rsidRPr="00821D6C" w:rsidRDefault="0089134E" w:rsidP="0089134E">
      <w:pPr>
        <w:pStyle w:val="p1"/>
        <w:numPr>
          <w:ilvl w:val="0"/>
          <w:numId w:val="19"/>
        </w:numPr>
        <w:jc w:val="both"/>
        <w:rPr>
          <w:rFonts w:ascii="Calibri" w:hAnsi="Calibri" w:cs="Calibri"/>
          <w:sz w:val="22"/>
          <w:szCs w:val="22"/>
        </w:rPr>
      </w:pPr>
      <w:r w:rsidRPr="00821D6C">
        <w:rPr>
          <w:rFonts w:ascii="Calibri" w:hAnsi="Calibri" w:cs="Calibri"/>
          <w:b/>
          <w:bCs/>
          <w:sz w:val="22"/>
          <w:szCs w:val="22"/>
        </w:rPr>
        <w:t xml:space="preserve">Mejoramiento del acceso a servicios de salud: </w:t>
      </w:r>
      <w:r w:rsidRPr="00821D6C">
        <w:rPr>
          <w:rFonts w:ascii="Calibri" w:hAnsi="Calibri" w:cs="Calibri"/>
          <w:sz w:val="22"/>
          <w:szCs w:val="22"/>
        </w:rPr>
        <w:t>Proponer y promover estrategias orientadas a garantizar el acceso oportuno, efectivo y sin barreras a diagnósticos especializados, tratamientos integrales, medicamentos, terapias de rehabilitación, servicios de apoyo y cuidados paliativos, conforme a los principios de equidad, continuidad e integralidad del sistema de salud.</w:t>
      </w:r>
    </w:p>
    <w:p w14:paraId="38A7B136" w14:textId="77777777" w:rsidR="0089134E" w:rsidRPr="00821D6C" w:rsidRDefault="0089134E" w:rsidP="0089134E">
      <w:pPr>
        <w:pStyle w:val="p1"/>
        <w:numPr>
          <w:ilvl w:val="0"/>
          <w:numId w:val="19"/>
        </w:numPr>
        <w:jc w:val="both"/>
        <w:rPr>
          <w:rFonts w:ascii="Calibri" w:hAnsi="Calibri" w:cs="Calibri"/>
          <w:sz w:val="22"/>
          <w:szCs w:val="22"/>
        </w:rPr>
      </w:pPr>
      <w:r w:rsidRPr="00821D6C">
        <w:rPr>
          <w:rFonts w:ascii="Calibri" w:hAnsi="Calibri" w:cs="Calibri"/>
          <w:b/>
          <w:bCs/>
          <w:sz w:val="22"/>
          <w:szCs w:val="22"/>
        </w:rPr>
        <w:t xml:space="preserve">Gestión del conocimiento y buenas prácticas: </w:t>
      </w:r>
      <w:r w:rsidRPr="00821D6C">
        <w:rPr>
          <w:rFonts w:ascii="Calibri" w:hAnsi="Calibri" w:cs="Calibri"/>
          <w:sz w:val="22"/>
          <w:szCs w:val="22"/>
        </w:rPr>
        <w:t>Facilitar el intercambio de experiencias, información, conocimientos técnicos y buenas prácticas entre los diferentes actores involucrados, con el fin de fortalecer la gestión integral de las enfermedades huérfanas en el municipio.</w:t>
      </w:r>
    </w:p>
    <w:p w14:paraId="14462F19" w14:textId="77777777" w:rsidR="0089134E" w:rsidRPr="00821D6C" w:rsidRDefault="0089134E" w:rsidP="0089134E">
      <w:pPr>
        <w:pStyle w:val="p1"/>
        <w:numPr>
          <w:ilvl w:val="0"/>
          <w:numId w:val="19"/>
        </w:numPr>
        <w:jc w:val="both"/>
        <w:rPr>
          <w:rFonts w:ascii="Calibri" w:hAnsi="Calibri" w:cs="Calibri"/>
          <w:sz w:val="22"/>
          <w:szCs w:val="22"/>
        </w:rPr>
      </w:pPr>
      <w:r w:rsidRPr="00821D6C">
        <w:rPr>
          <w:rFonts w:ascii="Calibri" w:hAnsi="Calibri" w:cs="Calibri"/>
          <w:b/>
          <w:bCs/>
          <w:sz w:val="22"/>
          <w:szCs w:val="22"/>
        </w:rPr>
        <w:t xml:space="preserve">Identificación de barreras y recomendaciones: </w:t>
      </w:r>
      <w:r w:rsidRPr="00821D6C">
        <w:rPr>
          <w:rFonts w:ascii="Calibri" w:hAnsi="Calibri" w:cs="Calibri"/>
          <w:sz w:val="22"/>
          <w:szCs w:val="22"/>
        </w:rPr>
        <w:t>Realizar seguimiento integral a la situación de las personas con enfermedades huérfanas, identificando barreras de acceso, fallas en la prestación de servicios y riesgos en la atención, formulando recomendaciones técnicas y administrativas para su superación.</w:t>
      </w:r>
    </w:p>
    <w:p w14:paraId="63899AB0" w14:textId="77777777" w:rsidR="0089134E" w:rsidRPr="00821D6C" w:rsidRDefault="0089134E" w:rsidP="0089134E">
      <w:pPr>
        <w:pStyle w:val="p1"/>
        <w:numPr>
          <w:ilvl w:val="0"/>
          <w:numId w:val="19"/>
        </w:numPr>
        <w:jc w:val="both"/>
        <w:rPr>
          <w:rFonts w:ascii="Calibri" w:hAnsi="Calibri" w:cs="Calibri"/>
          <w:sz w:val="22"/>
          <w:szCs w:val="22"/>
        </w:rPr>
      </w:pPr>
      <w:r w:rsidRPr="00821D6C">
        <w:rPr>
          <w:rFonts w:ascii="Calibri" w:hAnsi="Calibri" w:cs="Calibri"/>
          <w:b/>
          <w:bCs/>
          <w:sz w:val="22"/>
          <w:szCs w:val="22"/>
        </w:rPr>
        <w:lastRenderedPageBreak/>
        <w:t xml:space="preserve">Elaboración de informes: </w:t>
      </w:r>
      <w:r w:rsidRPr="00821D6C">
        <w:rPr>
          <w:rFonts w:ascii="Calibri" w:hAnsi="Calibri" w:cs="Calibri"/>
          <w:sz w:val="22"/>
          <w:szCs w:val="22"/>
        </w:rPr>
        <w:t>Elaborar y presentar informes periódicos de gestión, que den cuenta del avance de las acciones desarrolladas, los resultados obtenidos y el estado de la población con enfermedades huérfanas en el municipio, los cuales servirán como insumo para la toma de decisiones institucionales.</w:t>
      </w:r>
    </w:p>
    <w:p w14:paraId="03E48ADA" w14:textId="74D381CB" w:rsidR="00BE59F2" w:rsidRPr="00821D6C" w:rsidRDefault="0089134E" w:rsidP="00BE59F2">
      <w:pPr>
        <w:pStyle w:val="p1"/>
        <w:numPr>
          <w:ilvl w:val="0"/>
          <w:numId w:val="19"/>
        </w:numPr>
        <w:jc w:val="both"/>
        <w:rPr>
          <w:rFonts w:ascii="Calibri" w:hAnsi="Calibri" w:cs="Calibri"/>
          <w:sz w:val="22"/>
          <w:szCs w:val="22"/>
        </w:rPr>
      </w:pPr>
      <w:r w:rsidRPr="00821D6C">
        <w:rPr>
          <w:rFonts w:ascii="Calibri" w:hAnsi="Calibri" w:cs="Calibri"/>
          <w:b/>
          <w:bCs/>
          <w:sz w:val="22"/>
          <w:szCs w:val="22"/>
        </w:rPr>
        <w:t xml:space="preserve">Otras funciones: </w:t>
      </w:r>
      <w:r w:rsidRPr="00821D6C">
        <w:rPr>
          <w:rFonts w:ascii="Calibri" w:hAnsi="Calibri" w:cs="Calibri"/>
          <w:sz w:val="22"/>
          <w:szCs w:val="22"/>
        </w:rPr>
        <w:t>Las demás que le sean asignadas por la autoridad competente o que resulten necesarias para el cumplimiento de su objeto, en concordancia con el marco legal y reglamentario vigente.</w:t>
      </w:r>
    </w:p>
    <w:p w14:paraId="68CCE77E" w14:textId="77F63387" w:rsidR="001129AF" w:rsidRDefault="001129AF" w:rsidP="00F20916">
      <w:pPr>
        <w:spacing w:beforeAutospacing="1" w:after="100" w:afterAutospacing="1"/>
        <w:jc w:val="both"/>
        <w:rPr>
          <w:b/>
          <w:bCs/>
          <w:sz w:val="22"/>
          <w:szCs w:val="22"/>
        </w:rPr>
      </w:pPr>
      <w:r>
        <w:rPr>
          <w:b/>
          <w:bCs/>
          <w:sz w:val="22"/>
          <w:szCs w:val="22"/>
        </w:rPr>
        <w:t xml:space="preserve">PARÁGRAFO ÚNICO: </w:t>
      </w:r>
      <w:r w:rsidRPr="00821D6C">
        <w:rPr>
          <w:bCs/>
          <w:sz w:val="22"/>
          <w:szCs w:val="22"/>
        </w:rPr>
        <w:t>Las actividades de identificación, registro y consolidación de información a cargo de la Mesa Técnica deberán sujetarse estrictamente a las disposiciones de la Ley Estatutaria 1581 de 2012, garantizando la reserva, confidencialidad y debida protección de los datos personales sensibles de los pacientes y sus familias.</w:t>
      </w:r>
    </w:p>
    <w:p w14:paraId="0AF86619" w14:textId="3610C33D" w:rsidR="00BE59F2" w:rsidRPr="00821D6C" w:rsidRDefault="00BD67CA" w:rsidP="00F20916">
      <w:pPr>
        <w:spacing w:beforeAutospacing="1" w:after="100" w:afterAutospacing="1"/>
        <w:jc w:val="both"/>
        <w:rPr>
          <w:rFonts w:eastAsia="Times New Roman"/>
          <w:sz w:val="22"/>
          <w:szCs w:val="22"/>
          <w:lang w:eastAsia="es-CO"/>
        </w:rPr>
      </w:pPr>
      <w:r w:rsidRPr="00BD67CA">
        <w:rPr>
          <w:b/>
          <w:bCs/>
          <w:sz w:val="22"/>
          <w:szCs w:val="22"/>
        </w:rPr>
        <w:t>ARTÍCULO</w:t>
      </w:r>
      <w:r w:rsidR="00BE59F2" w:rsidRPr="00821D6C">
        <w:rPr>
          <w:b/>
          <w:bCs/>
          <w:sz w:val="22"/>
          <w:szCs w:val="22"/>
        </w:rPr>
        <w:t xml:space="preserve"> </w:t>
      </w:r>
      <w:r w:rsidR="00247F3C" w:rsidRPr="00821D6C">
        <w:rPr>
          <w:b/>
          <w:bCs/>
          <w:sz w:val="22"/>
          <w:szCs w:val="22"/>
        </w:rPr>
        <w:t>OCTAVO</w:t>
      </w:r>
      <w:r w:rsidR="006D6F86">
        <w:rPr>
          <w:b/>
          <w:bCs/>
          <w:sz w:val="22"/>
          <w:szCs w:val="22"/>
        </w:rPr>
        <w:t>.</w:t>
      </w:r>
      <w:r w:rsidR="006D6F86" w:rsidRPr="00821D6C">
        <w:rPr>
          <w:sz w:val="22"/>
          <w:szCs w:val="22"/>
        </w:rPr>
        <w:t xml:space="preserve"> </w:t>
      </w:r>
      <w:r w:rsidR="00BE59F2" w:rsidRPr="00821D6C">
        <w:rPr>
          <w:rFonts w:eastAsia="Times New Roman"/>
          <w:b/>
          <w:bCs/>
          <w:sz w:val="22"/>
          <w:szCs w:val="22"/>
          <w:lang w:eastAsia="es-CO"/>
        </w:rPr>
        <w:t>SECRETARÍA TÉCNICA</w:t>
      </w:r>
      <w:r w:rsidR="00BE59F2" w:rsidRPr="00821D6C">
        <w:rPr>
          <w:rFonts w:eastAsia="Times New Roman"/>
          <w:sz w:val="22"/>
          <w:szCs w:val="22"/>
          <w:lang w:eastAsia="es-CO"/>
        </w:rPr>
        <w:t>. La Secretaría Técnica de la Mesa Técnica de Enfermedades Huérfanas estará a cargo de la Secretaría de Salud Municipal, a través de la Dirección de Salud Pública, la cual será responsable de convocar las sesiones, elaborar actas, realizar seguimiento a compromisos y consolidar informes técnicos.</w:t>
      </w:r>
    </w:p>
    <w:p w14:paraId="6EAAA251" w14:textId="1CCF7D2B" w:rsidR="0089134E" w:rsidRPr="00821D6C" w:rsidRDefault="00BD67CA" w:rsidP="00F20916">
      <w:pPr>
        <w:pStyle w:val="p1"/>
        <w:jc w:val="both"/>
        <w:rPr>
          <w:rFonts w:ascii="Calibri" w:hAnsi="Calibri" w:cs="Calibri"/>
          <w:sz w:val="22"/>
          <w:szCs w:val="22"/>
        </w:rPr>
      </w:pPr>
      <w:r w:rsidRPr="00BD67CA">
        <w:rPr>
          <w:rFonts w:ascii="Calibri" w:hAnsi="Calibri" w:cs="Calibri"/>
          <w:b/>
          <w:bCs/>
          <w:sz w:val="22"/>
          <w:szCs w:val="22"/>
        </w:rPr>
        <w:t>ARTÍCULO</w:t>
      </w:r>
      <w:r w:rsidR="0089134E" w:rsidRPr="00821D6C">
        <w:rPr>
          <w:rFonts w:ascii="Calibri" w:hAnsi="Calibri" w:cs="Calibri"/>
          <w:b/>
          <w:bCs/>
          <w:sz w:val="22"/>
          <w:szCs w:val="22"/>
        </w:rPr>
        <w:t xml:space="preserve"> </w:t>
      </w:r>
      <w:r w:rsidR="00247F3C" w:rsidRPr="00821D6C">
        <w:rPr>
          <w:rFonts w:ascii="Calibri" w:hAnsi="Calibri" w:cs="Calibri"/>
          <w:b/>
          <w:bCs/>
          <w:sz w:val="22"/>
          <w:szCs w:val="22"/>
        </w:rPr>
        <w:t>NOVENO</w:t>
      </w:r>
      <w:r w:rsidR="0089134E" w:rsidRPr="00821D6C">
        <w:rPr>
          <w:rFonts w:ascii="Calibri" w:hAnsi="Calibri" w:cs="Calibri"/>
          <w:b/>
          <w:bCs/>
          <w:sz w:val="22"/>
          <w:szCs w:val="22"/>
        </w:rPr>
        <w:t>:</w:t>
      </w:r>
      <w:r w:rsidR="0089134E" w:rsidRPr="00821D6C">
        <w:rPr>
          <w:rFonts w:ascii="Calibri" w:hAnsi="Calibri" w:cs="Calibri"/>
          <w:sz w:val="22"/>
          <w:szCs w:val="22"/>
        </w:rPr>
        <w:t xml:space="preserve"> Se encuentra en cabeza de la Secretar</w:t>
      </w:r>
      <w:r w:rsidR="004C50BF">
        <w:rPr>
          <w:rFonts w:ascii="Calibri" w:hAnsi="Calibri" w:cs="Calibri"/>
          <w:sz w:val="22"/>
          <w:szCs w:val="22"/>
        </w:rPr>
        <w:t>í</w:t>
      </w:r>
      <w:r w:rsidR="0089134E" w:rsidRPr="00821D6C">
        <w:rPr>
          <w:rFonts w:ascii="Calibri" w:hAnsi="Calibri" w:cs="Calibri"/>
          <w:sz w:val="22"/>
          <w:szCs w:val="22"/>
        </w:rPr>
        <w:t>a de Salud el garantizar el apoyo logístico</w:t>
      </w:r>
      <w:r w:rsidR="006D6F86">
        <w:rPr>
          <w:rFonts w:ascii="Calibri" w:hAnsi="Calibri" w:cs="Calibri"/>
          <w:sz w:val="22"/>
          <w:szCs w:val="22"/>
        </w:rPr>
        <w:t>, administrativo</w:t>
      </w:r>
      <w:r w:rsidR="0089134E" w:rsidRPr="00821D6C">
        <w:rPr>
          <w:rFonts w:ascii="Calibri" w:hAnsi="Calibri" w:cs="Calibri"/>
          <w:sz w:val="22"/>
          <w:szCs w:val="22"/>
        </w:rPr>
        <w:t xml:space="preserve"> y técnico que se requiera por parte de la Mesa Técnica de Enfermedades Huérfanas.</w:t>
      </w:r>
    </w:p>
    <w:p w14:paraId="46AFF4E7" w14:textId="3E2B3C89" w:rsidR="00247F3C" w:rsidRPr="00821D6C" w:rsidRDefault="00247F3C" w:rsidP="00247F3C">
      <w:pPr>
        <w:jc w:val="both"/>
        <w:rPr>
          <w:sz w:val="22"/>
          <w:szCs w:val="22"/>
        </w:rPr>
      </w:pPr>
      <w:r w:rsidRPr="00821D6C">
        <w:rPr>
          <w:b/>
          <w:bCs/>
          <w:sz w:val="22"/>
          <w:szCs w:val="22"/>
        </w:rPr>
        <w:t>ART</w:t>
      </w:r>
      <w:r w:rsidR="00F03B64">
        <w:rPr>
          <w:b/>
          <w:bCs/>
          <w:sz w:val="22"/>
          <w:szCs w:val="22"/>
        </w:rPr>
        <w:t>Í</w:t>
      </w:r>
      <w:r w:rsidRPr="00821D6C">
        <w:rPr>
          <w:b/>
          <w:bCs/>
          <w:sz w:val="22"/>
          <w:szCs w:val="22"/>
        </w:rPr>
        <w:t xml:space="preserve">CULO </w:t>
      </w:r>
      <w:r w:rsidR="00F03B64" w:rsidRPr="00821D6C">
        <w:rPr>
          <w:b/>
          <w:bCs/>
          <w:sz w:val="22"/>
          <w:szCs w:val="22"/>
        </w:rPr>
        <w:t>D</w:t>
      </w:r>
      <w:r w:rsidR="00F03B64">
        <w:rPr>
          <w:b/>
          <w:bCs/>
          <w:sz w:val="22"/>
          <w:szCs w:val="22"/>
        </w:rPr>
        <w:t>É</w:t>
      </w:r>
      <w:r w:rsidR="00F03B64" w:rsidRPr="00821D6C">
        <w:rPr>
          <w:b/>
          <w:bCs/>
          <w:sz w:val="22"/>
          <w:szCs w:val="22"/>
        </w:rPr>
        <w:t>CIMO</w:t>
      </w:r>
      <w:r w:rsidRPr="00821D6C">
        <w:rPr>
          <w:b/>
          <w:bCs/>
          <w:sz w:val="22"/>
          <w:szCs w:val="22"/>
        </w:rPr>
        <w:t>: INVESTIGACIÓN</w:t>
      </w:r>
      <w:r w:rsidRPr="00821D6C">
        <w:rPr>
          <w:sz w:val="22"/>
          <w:szCs w:val="22"/>
        </w:rPr>
        <w:t xml:space="preserve">: </w:t>
      </w:r>
      <w:r w:rsidR="006D6F86" w:rsidRPr="006D6F86">
        <w:rPr>
          <w:sz w:val="22"/>
          <w:szCs w:val="22"/>
        </w:rPr>
        <w:t>La Secretaría de Salud Municipal, en articulación con la Mesa Técnica, promoverá el desarrollo de procesos de investigación científica, académica y social sobre las enfermedades huérfanas en el municipio. Lo anterior, con el propósito de contar con información pertinente, con base en la evidencia, que permita orientar de forma eficiente la utilización de los recursos públicos y diseñar las acciones correctivas pertinentes en el territorio.</w:t>
      </w:r>
      <w:r w:rsidR="006D6F86">
        <w:rPr>
          <w:sz w:val="22"/>
          <w:szCs w:val="22"/>
        </w:rPr>
        <w:t xml:space="preserve"> </w:t>
      </w:r>
    </w:p>
    <w:p w14:paraId="015BDD8B" w14:textId="77777777" w:rsidR="00247F3C" w:rsidRPr="00821D6C" w:rsidRDefault="00247F3C" w:rsidP="00247F3C">
      <w:pPr>
        <w:jc w:val="both"/>
        <w:rPr>
          <w:sz w:val="22"/>
          <w:szCs w:val="22"/>
        </w:rPr>
      </w:pPr>
    </w:p>
    <w:p w14:paraId="67530A99" w14:textId="321C31F1" w:rsidR="00247F3C" w:rsidRPr="00821D6C" w:rsidRDefault="00247F3C" w:rsidP="00247F3C">
      <w:pPr>
        <w:jc w:val="both"/>
        <w:rPr>
          <w:sz w:val="22"/>
          <w:szCs w:val="22"/>
        </w:rPr>
      </w:pPr>
      <w:r w:rsidRPr="00821D6C">
        <w:rPr>
          <w:b/>
          <w:bCs/>
          <w:sz w:val="22"/>
          <w:szCs w:val="22"/>
        </w:rPr>
        <w:t>ARTÍCULO DÉCIMO PRIMERO</w:t>
      </w:r>
      <w:r w:rsidR="006D6F86">
        <w:rPr>
          <w:sz w:val="22"/>
          <w:szCs w:val="22"/>
        </w:rPr>
        <w:t>.</w:t>
      </w:r>
      <w:r w:rsidR="006D6F86" w:rsidRPr="00821D6C">
        <w:rPr>
          <w:sz w:val="22"/>
          <w:szCs w:val="22"/>
        </w:rPr>
        <w:t xml:space="preserve"> </w:t>
      </w:r>
      <w:r w:rsidR="006D6F86" w:rsidRPr="00821D6C">
        <w:rPr>
          <w:b/>
          <w:bCs/>
          <w:sz w:val="22"/>
          <w:szCs w:val="22"/>
        </w:rPr>
        <w:t>PUBLICA</w:t>
      </w:r>
      <w:r w:rsidR="006D6F86">
        <w:rPr>
          <w:b/>
          <w:bCs/>
          <w:sz w:val="22"/>
          <w:szCs w:val="22"/>
        </w:rPr>
        <w:t>CIÓN</w:t>
      </w:r>
      <w:r w:rsidRPr="00821D6C">
        <w:rPr>
          <w:b/>
          <w:bCs/>
          <w:sz w:val="22"/>
          <w:szCs w:val="22"/>
        </w:rPr>
        <w:t>:</w:t>
      </w:r>
      <w:r w:rsidRPr="00821D6C">
        <w:rPr>
          <w:sz w:val="22"/>
          <w:szCs w:val="22"/>
        </w:rPr>
        <w:t xml:space="preserve"> </w:t>
      </w:r>
      <w:r w:rsidR="006D6F86" w:rsidRPr="006D6F86">
        <w:rPr>
          <w:sz w:val="22"/>
          <w:szCs w:val="22"/>
        </w:rPr>
        <w:t>Ordenar la publicación del presente decreto en la Sede Electrónica de la Alcaldía Municipal de Cajicá, de conformidad con lo establecido en la Ley 1437 de 2011 y las directrices vigentes de gobierno digital, para garantiz</w:t>
      </w:r>
      <w:r w:rsidR="006D6F86">
        <w:rPr>
          <w:sz w:val="22"/>
          <w:szCs w:val="22"/>
        </w:rPr>
        <w:t xml:space="preserve">ar su publicidad. </w:t>
      </w:r>
    </w:p>
    <w:p w14:paraId="35664122" w14:textId="77777777" w:rsidR="00247F3C" w:rsidRPr="00821D6C" w:rsidRDefault="00247F3C" w:rsidP="00247F3C">
      <w:pPr>
        <w:jc w:val="both"/>
        <w:rPr>
          <w:sz w:val="22"/>
          <w:szCs w:val="22"/>
        </w:rPr>
      </w:pPr>
    </w:p>
    <w:p w14:paraId="77CA70C3" w14:textId="66F77AFF" w:rsidR="00247F3C" w:rsidRPr="003258D8" w:rsidRDefault="00247F3C" w:rsidP="00247F3C">
      <w:pPr>
        <w:jc w:val="both"/>
        <w:rPr>
          <w:sz w:val="22"/>
          <w:szCs w:val="22"/>
        </w:rPr>
      </w:pPr>
      <w:r w:rsidRPr="00821D6C">
        <w:rPr>
          <w:b/>
          <w:bCs/>
          <w:sz w:val="22"/>
          <w:szCs w:val="22"/>
        </w:rPr>
        <w:t>ART</w:t>
      </w:r>
      <w:r w:rsidR="00812A34">
        <w:rPr>
          <w:b/>
          <w:bCs/>
          <w:sz w:val="22"/>
          <w:szCs w:val="22"/>
        </w:rPr>
        <w:t>Í</w:t>
      </w:r>
      <w:r w:rsidRPr="00821D6C">
        <w:rPr>
          <w:b/>
          <w:bCs/>
          <w:sz w:val="22"/>
          <w:szCs w:val="22"/>
        </w:rPr>
        <w:t>CULO D</w:t>
      </w:r>
      <w:r w:rsidR="00812A34">
        <w:rPr>
          <w:b/>
          <w:bCs/>
          <w:sz w:val="22"/>
          <w:szCs w:val="22"/>
        </w:rPr>
        <w:t>É</w:t>
      </w:r>
      <w:r w:rsidRPr="00821D6C">
        <w:rPr>
          <w:b/>
          <w:bCs/>
          <w:sz w:val="22"/>
          <w:szCs w:val="22"/>
        </w:rPr>
        <w:t>CIMO SEGUNDO</w:t>
      </w:r>
      <w:r w:rsidR="006D6F86">
        <w:rPr>
          <w:b/>
          <w:bCs/>
          <w:sz w:val="22"/>
          <w:szCs w:val="22"/>
        </w:rPr>
        <w:t>.</w:t>
      </w:r>
      <w:r w:rsidRPr="00821D6C">
        <w:rPr>
          <w:b/>
          <w:bCs/>
          <w:sz w:val="22"/>
          <w:szCs w:val="22"/>
        </w:rPr>
        <w:t xml:space="preserve"> VIGENCIA</w:t>
      </w:r>
      <w:r w:rsidR="006D6F86">
        <w:rPr>
          <w:b/>
          <w:bCs/>
          <w:sz w:val="22"/>
          <w:szCs w:val="22"/>
        </w:rPr>
        <w:t xml:space="preserve"> Y DEROGATORIAS:</w:t>
      </w:r>
      <w:r w:rsidRPr="003258D8">
        <w:rPr>
          <w:sz w:val="22"/>
          <w:szCs w:val="22"/>
        </w:rPr>
        <w:t xml:space="preserve"> El presente Decreto rige a partir de su publicación y deroga todas las disposiciones que le sean contrarias.</w:t>
      </w:r>
    </w:p>
    <w:p w14:paraId="65C7017F" w14:textId="59EDCFF2" w:rsidR="00AA7C37" w:rsidRPr="003258D8" w:rsidRDefault="00AA7C37" w:rsidP="00AA7C37">
      <w:pPr>
        <w:tabs>
          <w:tab w:val="left" w:pos="1344"/>
        </w:tabs>
        <w:rPr>
          <w:sz w:val="22"/>
          <w:szCs w:val="22"/>
        </w:rPr>
      </w:pPr>
    </w:p>
    <w:p w14:paraId="0A648381" w14:textId="77777777" w:rsidR="00247F3C" w:rsidRPr="003258D8" w:rsidRDefault="00247F3C" w:rsidP="00247F3C">
      <w:pPr>
        <w:jc w:val="both"/>
        <w:rPr>
          <w:sz w:val="22"/>
          <w:szCs w:val="22"/>
        </w:rPr>
      </w:pPr>
    </w:p>
    <w:p w14:paraId="4D15A615" w14:textId="77777777" w:rsidR="00247F3C" w:rsidRPr="003258D8" w:rsidRDefault="00247F3C" w:rsidP="00247F3C">
      <w:pPr>
        <w:jc w:val="center"/>
        <w:rPr>
          <w:b/>
          <w:bCs/>
          <w:sz w:val="22"/>
          <w:szCs w:val="22"/>
        </w:rPr>
      </w:pPr>
      <w:r w:rsidRPr="003258D8">
        <w:rPr>
          <w:b/>
          <w:bCs/>
          <w:sz w:val="22"/>
          <w:szCs w:val="22"/>
        </w:rPr>
        <w:t>PUBLÍQUESE, COMUNIQUESE Y CÚMPLASE</w:t>
      </w:r>
    </w:p>
    <w:p w14:paraId="529152A3" w14:textId="668D69B2" w:rsidR="00247F3C" w:rsidRDefault="00247F3C" w:rsidP="00247F3C">
      <w:pPr>
        <w:jc w:val="both"/>
        <w:rPr>
          <w:sz w:val="22"/>
          <w:szCs w:val="22"/>
        </w:rPr>
      </w:pPr>
    </w:p>
    <w:p w14:paraId="5A1CBACA" w14:textId="72C8DF2B" w:rsidR="00812A34" w:rsidRDefault="00812A34" w:rsidP="00247F3C">
      <w:pPr>
        <w:jc w:val="both"/>
        <w:rPr>
          <w:sz w:val="22"/>
          <w:szCs w:val="22"/>
        </w:rPr>
      </w:pPr>
    </w:p>
    <w:p w14:paraId="1F265BCD" w14:textId="77777777" w:rsidR="00812A34" w:rsidRPr="003258D8" w:rsidRDefault="00812A34" w:rsidP="00247F3C">
      <w:pPr>
        <w:jc w:val="both"/>
        <w:rPr>
          <w:sz w:val="22"/>
          <w:szCs w:val="22"/>
        </w:rPr>
      </w:pPr>
    </w:p>
    <w:p w14:paraId="2C1C1D58" w14:textId="04A6EEF1" w:rsidR="00247F3C" w:rsidRPr="003258D8" w:rsidRDefault="00812A34" w:rsidP="00247F3C">
      <w:pPr>
        <w:jc w:val="center"/>
        <w:rPr>
          <w:b/>
          <w:bCs/>
          <w:sz w:val="22"/>
          <w:szCs w:val="22"/>
        </w:rPr>
      </w:pPr>
      <w:r>
        <w:rPr>
          <w:b/>
          <w:bCs/>
          <w:sz w:val="22"/>
          <w:szCs w:val="22"/>
        </w:rPr>
        <w:t xml:space="preserve">Ing. </w:t>
      </w:r>
      <w:r w:rsidR="00247F3C" w:rsidRPr="003258D8">
        <w:rPr>
          <w:b/>
          <w:bCs/>
          <w:sz w:val="22"/>
          <w:szCs w:val="22"/>
        </w:rPr>
        <w:t>FABIOLA JÁCOME RINCÓN</w:t>
      </w:r>
    </w:p>
    <w:p w14:paraId="55031CEF" w14:textId="25501CEE" w:rsidR="00247F3C" w:rsidRDefault="00247F3C" w:rsidP="00607124">
      <w:pPr>
        <w:jc w:val="center"/>
        <w:rPr>
          <w:sz w:val="22"/>
          <w:szCs w:val="22"/>
        </w:rPr>
      </w:pPr>
      <w:r w:rsidRPr="003258D8">
        <w:rPr>
          <w:b/>
          <w:bCs/>
          <w:sz w:val="22"/>
          <w:szCs w:val="22"/>
        </w:rPr>
        <w:t>Alcaldesa de Cajicá</w:t>
      </w:r>
    </w:p>
    <w:p w14:paraId="49EC9D0F" w14:textId="77777777" w:rsidR="00812A34" w:rsidRPr="00F225BD" w:rsidRDefault="00812A34" w:rsidP="00247F3C">
      <w:pPr>
        <w:jc w:val="both"/>
        <w:rPr>
          <w:sz w:val="22"/>
          <w:szCs w:val="22"/>
        </w:rPr>
      </w:pPr>
    </w:p>
    <w:tbl>
      <w:tblPr>
        <w:tblW w:w="10492"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6"/>
        <w:gridCol w:w="3974"/>
        <w:gridCol w:w="2764"/>
        <w:gridCol w:w="2768"/>
      </w:tblGrid>
      <w:tr w:rsidR="00247F3C" w:rsidRPr="00F225BD" w14:paraId="6AD216D5" w14:textId="77777777" w:rsidTr="00D61103">
        <w:trPr>
          <w:trHeight w:val="283"/>
        </w:trPr>
        <w:tc>
          <w:tcPr>
            <w:tcW w:w="986" w:type="dxa"/>
            <w:tcBorders>
              <w:top w:val="nil"/>
              <w:left w:val="nil"/>
              <w:bottom w:val="single" w:sz="4" w:space="0" w:color="000000"/>
              <w:right w:val="single" w:sz="4" w:space="0" w:color="000000"/>
            </w:tcBorders>
            <w:vAlign w:val="center"/>
          </w:tcPr>
          <w:p w14:paraId="7379E220" w14:textId="77777777" w:rsidR="00247F3C" w:rsidRPr="003258D8" w:rsidRDefault="00247F3C" w:rsidP="00D61103">
            <w:pPr>
              <w:jc w:val="center"/>
              <w:rPr>
                <w:sz w:val="16"/>
                <w:szCs w:val="16"/>
              </w:rPr>
            </w:pPr>
          </w:p>
        </w:tc>
        <w:tc>
          <w:tcPr>
            <w:tcW w:w="3974" w:type="dxa"/>
            <w:tcBorders>
              <w:left w:val="single" w:sz="4" w:space="0" w:color="000000"/>
            </w:tcBorders>
            <w:vAlign w:val="center"/>
          </w:tcPr>
          <w:p w14:paraId="25E4D5A5" w14:textId="77777777" w:rsidR="00247F3C" w:rsidRPr="003258D8" w:rsidRDefault="00247F3C" w:rsidP="00D61103">
            <w:pPr>
              <w:jc w:val="center"/>
              <w:rPr>
                <w:b/>
                <w:sz w:val="16"/>
                <w:szCs w:val="16"/>
              </w:rPr>
            </w:pPr>
            <w:r w:rsidRPr="003258D8">
              <w:rPr>
                <w:b/>
                <w:sz w:val="16"/>
                <w:szCs w:val="16"/>
              </w:rPr>
              <w:t>NOMBRE Y APELLIDO</w:t>
            </w:r>
          </w:p>
        </w:tc>
        <w:tc>
          <w:tcPr>
            <w:tcW w:w="2764" w:type="dxa"/>
            <w:vAlign w:val="center"/>
          </w:tcPr>
          <w:p w14:paraId="56E4E3B2" w14:textId="77777777" w:rsidR="00247F3C" w:rsidRPr="003258D8" w:rsidRDefault="00247F3C" w:rsidP="00D61103">
            <w:pPr>
              <w:jc w:val="center"/>
              <w:rPr>
                <w:b/>
                <w:sz w:val="16"/>
                <w:szCs w:val="16"/>
              </w:rPr>
            </w:pPr>
            <w:r w:rsidRPr="003258D8">
              <w:rPr>
                <w:b/>
                <w:sz w:val="16"/>
                <w:szCs w:val="16"/>
              </w:rPr>
              <w:t>FIRMA</w:t>
            </w:r>
          </w:p>
        </w:tc>
        <w:tc>
          <w:tcPr>
            <w:tcW w:w="2768" w:type="dxa"/>
            <w:vAlign w:val="center"/>
          </w:tcPr>
          <w:p w14:paraId="26000BD1" w14:textId="77777777" w:rsidR="00247F3C" w:rsidRPr="003258D8" w:rsidRDefault="00247F3C" w:rsidP="00D61103">
            <w:pPr>
              <w:jc w:val="center"/>
              <w:rPr>
                <w:b/>
                <w:sz w:val="16"/>
                <w:szCs w:val="16"/>
              </w:rPr>
            </w:pPr>
            <w:r w:rsidRPr="003258D8">
              <w:rPr>
                <w:b/>
                <w:sz w:val="16"/>
                <w:szCs w:val="16"/>
              </w:rPr>
              <w:t>CARGO Y ÁREA</w:t>
            </w:r>
          </w:p>
        </w:tc>
      </w:tr>
      <w:tr w:rsidR="00247F3C" w:rsidRPr="00F225BD" w14:paraId="344BF758" w14:textId="77777777" w:rsidTr="00D61103">
        <w:trPr>
          <w:trHeight w:val="283"/>
        </w:trPr>
        <w:tc>
          <w:tcPr>
            <w:tcW w:w="986" w:type="dxa"/>
            <w:tcBorders>
              <w:top w:val="single" w:sz="4" w:space="0" w:color="000000"/>
            </w:tcBorders>
            <w:vAlign w:val="center"/>
          </w:tcPr>
          <w:p w14:paraId="18C2D547" w14:textId="77777777" w:rsidR="00247F3C" w:rsidRPr="003258D8" w:rsidRDefault="00247F3C" w:rsidP="00D61103">
            <w:pPr>
              <w:widowControl w:val="0"/>
              <w:spacing w:line="276" w:lineRule="auto"/>
              <w:jc w:val="center"/>
              <w:rPr>
                <w:b/>
                <w:sz w:val="16"/>
                <w:szCs w:val="16"/>
              </w:rPr>
            </w:pPr>
            <w:r w:rsidRPr="003258D8">
              <w:rPr>
                <w:b/>
                <w:sz w:val="16"/>
                <w:szCs w:val="16"/>
              </w:rPr>
              <w:t>Elaboró</w:t>
            </w:r>
          </w:p>
        </w:tc>
        <w:tc>
          <w:tcPr>
            <w:tcW w:w="3974" w:type="dxa"/>
            <w:vAlign w:val="center"/>
          </w:tcPr>
          <w:p w14:paraId="057CCDDA" w14:textId="3AD85E5B" w:rsidR="00247F3C" w:rsidRPr="00607124" w:rsidRDefault="00247F3C" w:rsidP="00D61103">
            <w:pPr>
              <w:jc w:val="center"/>
              <w:rPr>
                <w:sz w:val="16"/>
                <w:szCs w:val="16"/>
              </w:rPr>
            </w:pPr>
            <w:r w:rsidRPr="003258D8">
              <w:rPr>
                <w:sz w:val="16"/>
                <w:szCs w:val="16"/>
              </w:rPr>
              <w:t xml:space="preserve">Jhon   </w:t>
            </w:r>
            <w:r w:rsidR="003258D8">
              <w:rPr>
                <w:sz w:val="16"/>
                <w:szCs w:val="16"/>
              </w:rPr>
              <w:t>xxxxxx?</w:t>
            </w:r>
          </w:p>
        </w:tc>
        <w:tc>
          <w:tcPr>
            <w:tcW w:w="2764" w:type="dxa"/>
            <w:vAlign w:val="center"/>
          </w:tcPr>
          <w:p w14:paraId="1FF1DB7F" w14:textId="77777777" w:rsidR="00247F3C" w:rsidRPr="00607124" w:rsidRDefault="00247F3C" w:rsidP="00D61103">
            <w:pPr>
              <w:jc w:val="center"/>
              <w:rPr>
                <w:sz w:val="16"/>
                <w:szCs w:val="16"/>
              </w:rPr>
            </w:pPr>
          </w:p>
        </w:tc>
        <w:tc>
          <w:tcPr>
            <w:tcW w:w="2768" w:type="dxa"/>
            <w:vAlign w:val="center"/>
          </w:tcPr>
          <w:p w14:paraId="1C7E4C90" w14:textId="77777777" w:rsidR="00247F3C" w:rsidRPr="00607124" w:rsidRDefault="00247F3C" w:rsidP="00D61103">
            <w:pPr>
              <w:widowControl w:val="0"/>
              <w:spacing w:line="276" w:lineRule="auto"/>
              <w:jc w:val="center"/>
              <w:rPr>
                <w:sz w:val="16"/>
                <w:szCs w:val="16"/>
              </w:rPr>
            </w:pPr>
            <w:r w:rsidRPr="00607124">
              <w:rPr>
                <w:sz w:val="16"/>
                <w:szCs w:val="16"/>
              </w:rPr>
              <w:t>Contratista - Secretaría de Salud</w:t>
            </w:r>
          </w:p>
        </w:tc>
      </w:tr>
      <w:tr w:rsidR="00247F3C" w:rsidRPr="00F225BD" w14:paraId="00335CDE" w14:textId="77777777" w:rsidTr="00D61103">
        <w:trPr>
          <w:trHeight w:val="283"/>
        </w:trPr>
        <w:tc>
          <w:tcPr>
            <w:tcW w:w="986" w:type="dxa"/>
            <w:vMerge w:val="restart"/>
            <w:vAlign w:val="center"/>
          </w:tcPr>
          <w:p w14:paraId="3C6A4F5C" w14:textId="77777777" w:rsidR="00247F3C" w:rsidRPr="003258D8" w:rsidRDefault="00247F3C" w:rsidP="00D61103">
            <w:pPr>
              <w:jc w:val="center"/>
              <w:rPr>
                <w:b/>
                <w:sz w:val="16"/>
                <w:szCs w:val="16"/>
              </w:rPr>
            </w:pPr>
            <w:r w:rsidRPr="003258D8">
              <w:rPr>
                <w:b/>
                <w:sz w:val="16"/>
                <w:szCs w:val="16"/>
              </w:rPr>
              <w:t>Revisó</w:t>
            </w:r>
          </w:p>
        </w:tc>
        <w:tc>
          <w:tcPr>
            <w:tcW w:w="3974" w:type="dxa"/>
            <w:vAlign w:val="center"/>
          </w:tcPr>
          <w:p w14:paraId="55735FDA" w14:textId="5633BB73" w:rsidR="00247F3C" w:rsidRPr="003258D8" w:rsidRDefault="00247F3C" w:rsidP="000C7DD9">
            <w:pPr>
              <w:jc w:val="center"/>
              <w:rPr>
                <w:sz w:val="16"/>
                <w:szCs w:val="16"/>
              </w:rPr>
            </w:pPr>
            <w:r w:rsidRPr="003258D8">
              <w:rPr>
                <w:sz w:val="16"/>
                <w:szCs w:val="16"/>
              </w:rPr>
              <w:t>Sammy Pinz</w:t>
            </w:r>
            <w:r w:rsidR="000C7DD9">
              <w:rPr>
                <w:sz w:val="16"/>
                <w:szCs w:val="16"/>
              </w:rPr>
              <w:t>ó</w:t>
            </w:r>
            <w:r w:rsidRPr="003258D8">
              <w:rPr>
                <w:sz w:val="16"/>
                <w:szCs w:val="16"/>
              </w:rPr>
              <w:t>n</w:t>
            </w:r>
          </w:p>
        </w:tc>
        <w:tc>
          <w:tcPr>
            <w:tcW w:w="2764" w:type="dxa"/>
            <w:vAlign w:val="center"/>
          </w:tcPr>
          <w:p w14:paraId="46310975" w14:textId="77777777" w:rsidR="00247F3C" w:rsidRPr="003258D8" w:rsidRDefault="00247F3C" w:rsidP="00D61103">
            <w:pPr>
              <w:jc w:val="center"/>
              <w:rPr>
                <w:sz w:val="16"/>
                <w:szCs w:val="16"/>
              </w:rPr>
            </w:pPr>
          </w:p>
        </w:tc>
        <w:tc>
          <w:tcPr>
            <w:tcW w:w="2768" w:type="dxa"/>
            <w:vAlign w:val="center"/>
          </w:tcPr>
          <w:p w14:paraId="6244B07B" w14:textId="53EA8531" w:rsidR="00247F3C" w:rsidRPr="003258D8" w:rsidRDefault="00247F3C" w:rsidP="00D61103">
            <w:pPr>
              <w:rPr>
                <w:sz w:val="16"/>
                <w:szCs w:val="16"/>
              </w:rPr>
            </w:pPr>
            <w:r w:rsidRPr="003258D8">
              <w:rPr>
                <w:sz w:val="16"/>
                <w:szCs w:val="16"/>
              </w:rPr>
              <w:t>Contratista – Secretar</w:t>
            </w:r>
            <w:r w:rsidR="00812A34">
              <w:rPr>
                <w:sz w:val="16"/>
                <w:szCs w:val="16"/>
              </w:rPr>
              <w:t>í</w:t>
            </w:r>
            <w:r w:rsidRPr="003258D8">
              <w:rPr>
                <w:sz w:val="16"/>
                <w:szCs w:val="16"/>
              </w:rPr>
              <w:t>a de Salud</w:t>
            </w:r>
          </w:p>
        </w:tc>
      </w:tr>
      <w:tr w:rsidR="00247F3C" w:rsidRPr="00F225BD" w14:paraId="79E9DDB0" w14:textId="77777777" w:rsidTr="00D61103">
        <w:trPr>
          <w:trHeight w:val="283"/>
        </w:trPr>
        <w:tc>
          <w:tcPr>
            <w:tcW w:w="986" w:type="dxa"/>
            <w:vMerge/>
            <w:vAlign w:val="center"/>
          </w:tcPr>
          <w:p w14:paraId="4D7E5FA1" w14:textId="77777777" w:rsidR="00247F3C" w:rsidRPr="003258D8" w:rsidRDefault="00247F3C" w:rsidP="00D61103">
            <w:pPr>
              <w:jc w:val="center"/>
              <w:rPr>
                <w:b/>
                <w:sz w:val="16"/>
                <w:szCs w:val="16"/>
              </w:rPr>
            </w:pPr>
          </w:p>
        </w:tc>
        <w:tc>
          <w:tcPr>
            <w:tcW w:w="3974" w:type="dxa"/>
            <w:vAlign w:val="center"/>
          </w:tcPr>
          <w:p w14:paraId="04277910" w14:textId="77777777" w:rsidR="00247F3C" w:rsidRPr="003258D8" w:rsidRDefault="00247F3C" w:rsidP="00D61103">
            <w:pPr>
              <w:jc w:val="center"/>
              <w:rPr>
                <w:sz w:val="16"/>
                <w:szCs w:val="16"/>
              </w:rPr>
            </w:pPr>
            <w:r w:rsidRPr="003258D8">
              <w:rPr>
                <w:sz w:val="16"/>
                <w:szCs w:val="16"/>
              </w:rPr>
              <w:t xml:space="preserve">Martha Nieto Ayala </w:t>
            </w:r>
          </w:p>
        </w:tc>
        <w:tc>
          <w:tcPr>
            <w:tcW w:w="2764" w:type="dxa"/>
            <w:vAlign w:val="center"/>
          </w:tcPr>
          <w:p w14:paraId="795C06F1" w14:textId="77777777" w:rsidR="00247F3C" w:rsidRPr="003258D8" w:rsidRDefault="00247F3C" w:rsidP="00D61103">
            <w:pPr>
              <w:jc w:val="center"/>
              <w:rPr>
                <w:sz w:val="16"/>
                <w:szCs w:val="16"/>
              </w:rPr>
            </w:pPr>
          </w:p>
        </w:tc>
        <w:tc>
          <w:tcPr>
            <w:tcW w:w="2768" w:type="dxa"/>
            <w:vAlign w:val="center"/>
          </w:tcPr>
          <w:p w14:paraId="5A834B3A" w14:textId="77777777" w:rsidR="00247F3C" w:rsidRPr="003258D8" w:rsidRDefault="00247F3C" w:rsidP="00D61103">
            <w:pPr>
              <w:jc w:val="center"/>
              <w:rPr>
                <w:sz w:val="16"/>
                <w:szCs w:val="16"/>
              </w:rPr>
            </w:pPr>
            <w:r w:rsidRPr="003258D8">
              <w:rPr>
                <w:sz w:val="16"/>
                <w:szCs w:val="16"/>
              </w:rPr>
              <w:t>Secretaria Jurídica</w:t>
            </w:r>
          </w:p>
        </w:tc>
      </w:tr>
      <w:tr w:rsidR="00247F3C" w:rsidRPr="00F225BD" w14:paraId="79E5FD02" w14:textId="77777777" w:rsidTr="00D61103">
        <w:trPr>
          <w:trHeight w:val="283"/>
        </w:trPr>
        <w:tc>
          <w:tcPr>
            <w:tcW w:w="986" w:type="dxa"/>
            <w:vMerge/>
            <w:vAlign w:val="center"/>
          </w:tcPr>
          <w:p w14:paraId="1BEA9F2D" w14:textId="77777777" w:rsidR="00247F3C" w:rsidRPr="003258D8" w:rsidRDefault="00247F3C" w:rsidP="00D61103">
            <w:pPr>
              <w:jc w:val="center"/>
              <w:rPr>
                <w:b/>
                <w:sz w:val="16"/>
                <w:szCs w:val="16"/>
              </w:rPr>
            </w:pPr>
          </w:p>
        </w:tc>
        <w:tc>
          <w:tcPr>
            <w:tcW w:w="3974" w:type="dxa"/>
            <w:vAlign w:val="center"/>
          </w:tcPr>
          <w:p w14:paraId="12E94CF4" w14:textId="32FE8521" w:rsidR="00247F3C" w:rsidRPr="003258D8" w:rsidRDefault="00247F3C" w:rsidP="00D61103">
            <w:pPr>
              <w:jc w:val="center"/>
              <w:rPr>
                <w:sz w:val="16"/>
                <w:szCs w:val="16"/>
              </w:rPr>
            </w:pPr>
            <w:r w:rsidRPr="003258D8">
              <w:rPr>
                <w:color w:val="000000" w:themeColor="text1"/>
                <w:sz w:val="16"/>
                <w:szCs w:val="16"/>
                <w:shd w:val="clear" w:color="auto" w:fill="FFFFFF"/>
              </w:rPr>
              <w:t>Hugo Alejandro Palacios Santafé</w:t>
            </w:r>
          </w:p>
        </w:tc>
        <w:tc>
          <w:tcPr>
            <w:tcW w:w="2764" w:type="dxa"/>
            <w:vAlign w:val="center"/>
          </w:tcPr>
          <w:p w14:paraId="1B39EAAF" w14:textId="77777777" w:rsidR="00247F3C" w:rsidRPr="003258D8" w:rsidRDefault="00247F3C" w:rsidP="00D61103">
            <w:pPr>
              <w:jc w:val="center"/>
              <w:rPr>
                <w:sz w:val="16"/>
                <w:szCs w:val="16"/>
              </w:rPr>
            </w:pPr>
          </w:p>
        </w:tc>
        <w:tc>
          <w:tcPr>
            <w:tcW w:w="2768" w:type="dxa"/>
            <w:vAlign w:val="center"/>
          </w:tcPr>
          <w:p w14:paraId="17ECFE57" w14:textId="2E60AB8F" w:rsidR="00247F3C" w:rsidRPr="003258D8" w:rsidRDefault="00812A34" w:rsidP="00812A34">
            <w:pPr>
              <w:jc w:val="center"/>
              <w:rPr>
                <w:sz w:val="16"/>
                <w:szCs w:val="16"/>
              </w:rPr>
            </w:pPr>
            <w:r w:rsidRPr="003258D8">
              <w:rPr>
                <w:sz w:val="16"/>
                <w:szCs w:val="16"/>
              </w:rPr>
              <w:t>A</w:t>
            </w:r>
            <w:r>
              <w:rPr>
                <w:sz w:val="16"/>
                <w:szCs w:val="16"/>
              </w:rPr>
              <w:t xml:space="preserve">sesor jurídico externo del </w:t>
            </w:r>
            <w:r w:rsidRPr="003258D8">
              <w:rPr>
                <w:sz w:val="16"/>
                <w:szCs w:val="16"/>
              </w:rPr>
              <w:t xml:space="preserve">o </w:t>
            </w:r>
            <w:r w:rsidR="00247F3C" w:rsidRPr="003258D8">
              <w:rPr>
                <w:sz w:val="16"/>
                <w:szCs w:val="16"/>
              </w:rPr>
              <w:t>Despacho de la Alcaldesa</w:t>
            </w:r>
          </w:p>
        </w:tc>
      </w:tr>
      <w:tr w:rsidR="00247F3C" w:rsidRPr="00F225BD" w14:paraId="29C7603B" w14:textId="77777777" w:rsidTr="00D61103">
        <w:trPr>
          <w:trHeight w:val="283"/>
        </w:trPr>
        <w:tc>
          <w:tcPr>
            <w:tcW w:w="986" w:type="dxa"/>
            <w:vMerge/>
            <w:vAlign w:val="center"/>
          </w:tcPr>
          <w:p w14:paraId="072838C8" w14:textId="77777777" w:rsidR="00247F3C" w:rsidRPr="003258D8" w:rsidRDefault="00247F3C" w:rsidP="00D61103">
            <w:pPr>
              <w:jc w:val="center"/>
              <w:rPr>
                <w:b/>
                <w:sz w:val="16"/>
                <w:szCs w:val="16"/>
              </w:rPr>
            </w:pPr>
          </w:p>
        </w:tc>
        <w:tc>
          <w:tcPr>
            <w:tcW w:w="3974" w:type="dxa"/>
            <w:vAlign w:val="center"/>
          </w:tcPr>
          <w:p w14:paraId="2D16F84B" w14:textId="79F8FB69" w:rsidR="00247F3C" w:rsidRPr="003258D8" w:rsidRDefault="00247F3C" w:rsidP="00D61103">
            <w:pPr>
              <w:jc w:val="center"/>
              <w:rPr>
                <w:color w:val="000000" w:themeColor="text1"/>
                <w:sz w:val="16"/>
                <w:szCs w:val="16"/>
                <w:shd w:val="clear" w:color="auto" w:fill="FFFFFF"/>
              </w:rPr>
            </w:pPr>
            <w:r w:rsidRPr="003258D8">
              <w:rPr>
                <w:color w:val="000000" w:themeColor="text1"/>
                <w:sz w:val="16"/>
                <w:szCs w:val="16"/>
                <w:shd w:val="clear" w:color="auto" w:fill="FFFFFF"/>
              </w:rPr>
              <w:t xml:space="preserve">Andrea Marcela Castillo </w:t>
            </w:r>
            <w:r w:rsidR="00812A34" w:rsidRPr="00812A34">
              <w:rPr>
                <w:color w:val="000000" w:themeColor="text1"/>
                <w:sz w:val="16"/>
                <w:szCs w:val="16"/>
                <w:shd w:val="clear" w:color="auto" w:fill="FFFFFF"/>
              </w:rPr>
              <w:t>González</w:t>
            </w:r>
          </w:p>
        </w:tc>
        <w:tc>
          <w:tcPr>
            <w:tcW w:w="2764" w:type="dxa"/>
            <w:vAlign w:val="center"/>
          </w:tcPr>
          <w:p w14:paraId="65403274" w14:textId="77777777" w:rsidR="00247F3C" w:rsidRPr="003258D8" w:rsidRDefault="00247F3C" w:rsidP="00D61103">
            <w:pPr>
              <w:jc w:val="center"/>
              <w:rPr>
                <w:sz w:val="16"/>
                <w:szCs w:val="16"/>
              </w:rPr>
            </w:pPr>
          </w:p>
        </w:tc>
        <w:tc>
          <w:tcPr>
            <w:tcW w:w="2768" w:type="dxa"/>
            <w:vAlign w:val="center"/>
          </w:tcPr>
          <w:p w14:paraId="6ADC8AD8" w14:textId="5613E3AA" w:rsidR="00247F3C" w:rsidRPr="003258D8" w:rsidRDefault="00247F3C" w:rsidP="00D61103">
            <w:pPr>
              <w:jc w:val="center"/>
              <w:rPr>
                <w:sz w:val="16"/>
                <w:szCs w:val="16"/>
              </w:rPr>
            </w:pPr>
            <w:r w:rsidRPr="003258D8">
              <w:rPr>
                <w:sz w:val="16"/>
                <w:szCs w:val="16"/>
              </w:rPr>
              <w:t>Directora de Salud P</w:t>
            </w:r>
            <w:r w:rsidR="00812A34">
              <w:rPr>
                <w:sz w:val="16"/>
                <w:szCs w:val="16"/>
              </w:rPr>
              <w:t>ú</w:t>
            </w:r>
            <w:r w:rsidRPr="003258D8">
              <w:rPr>
                <w:sz w:val="16"/>
                <w:szCs w:val="16"/>
              </w:rPr>
              <w:t>blica</w:t>
            </w:r>
          </w:p>
        </w:tc>
      </w:tr>
      <w:tr w:rsidR="00247F3C" w:rsidRPr="00F225BD" w14:paraId="397D39C0" w14:textId="77777777" w:rsidTr="00D61103">
        <w:trPr>
          <w:trHeight w:val="283"/>
        </w:trPr>
        <w:tc>
          <w:tcPr>
            <w:tcW w:w="986" w:type="dxa"/>
            <w:vAlign w:val="center"/>
          </w:tcPr>
          <w:p w14:paraId="60C37027" w14:textId="06211FE4" w:rsidR="00247F3C" w:rsidRPr="003258D8" w:rsidRDefault="00247F3C" w:rsidP="00F225BD">
            <w:pPr>
              <w:jc w:val="center"/>
              <w:rPr>
                <w:b/>
                <w:sz w:val="16"/>
                <w:szCs w:val="16"/>
              </w:rPr>
            </w:pPr>
            <w:r w:rsidRPr="003258D8">
              <w:rPr>
                <w:b/>
                <w:sz w:val="16"/>
                <w:szCs w:val="16"/>
              </w:rPr>
              <w:t>Aprob</w:t>
            </w:r>
            <w:r w:rsidR="00F225BD">
              <w:rPr>
                <w:b/>
                <w:sz w:val="16"/>
                <w:szCs w:val="16"/>
              </w:rPr>
              <w:t>ó</w:t>
            </w:r>
          </w:p>
        </w:tc>
        <w:tc>
          <w:tcPr>
            <w:tcW w:w="3974" w:type="dxa"/>
            <w:vAlign w:val="center"/>
          </w:tcPr>
          <w:p w14:paraId="44B27543" w14:textId="77777777" w:rsidR="00247F3C" w:rsidRPr="003258D8" w:rsidRDefault="00247F3C" w:rsidP="00D61103">
            <w:pPr>
              <w:jc w:val="center"/>
              <w:rPr>
                <w:sz w:val="16"/>
                <w:szCs w:val="16"/>
                <w:highlight w:val="yellow"/>
              </w:rPr>
            </w:pPr>
            <w:r w:rsidRPr="003258D8">
              <w:rPr>
                <w:sz w:val="16"/>
                <w:szCs w:val="16"/>
              </w:rPr>
              <w:t>Sandra Liliana Espinel Corredor</w:t>
            </w:r>
          </w:p>
        </w:tc>
        <w:tc>
          <w:tcPr>
            <w:tcW w:w="2764" w:type="dxa"/>
            <w:vAlign w:val="center"/>
          </w:tcPr>
          <w:p w14:paraId="0D49772A" w14:textId="77777777" w:rsidR="00247F3C" w:rsidRPr="003258D8" w:rsidRDefault="00247F3C" w:rsidP="00D61103">
            <w:pPr>
              <w:jc w:val="center"/>
              <w:rPr>
                <w:sz w:val="16"/>
                <w:szCs w:val="16"/>
                <w:highlight w:val="yellow"/>
              </w:rPr>
            </w:pPr>
          </w:p>
        </w:tc>
        <w:tc>
          <w:tcPr>
            <w:tcW w:w="2768" w:type="dxa"/>
            <w:vAlign w:val="center"/>
          </w:tcPr>
          <w:p w14:paraId="566D4858" w14:textId="77777777" w:rsidR="00247F3C" w:rsidRPr="003258D8" w:rsidRDefault="00247F3C" w:rsidP="00D61103">
            <w:pPr>
              <w:jc w:val="center"/>
              <w:rPr>
                <w:sz w:val="16"/>
                <w:szCs w:val="16"/>
              </w:rPr>
            </w:pPr>
            <w:r w:rsidRPr="003258D8">
              <w:rPr>
                <w:sz w:val="16"/>
                <w:szCs w:val="16"/>
              </w:rPr>
              <w:t>Secretaria de Salud</w:t>
            </w:r>
          </w:p>
        </w:tc>
      </w:tr>
      <w:tr w:rsidR="00247F3C" w:rsidRPr="00F225BD" w14:paraId="447F53D0" w14:textId="77777777" w:rsidTr="00D61103">
        <w:trPr>
          <w:trHeight w:val="536"/>
        </w:trPr>
        <w:tc>
          <w:tcPr>
            <w:tcW w:w="10492" w:type="dxa"/>
            <w:gridSpan w:val="4"/>
            <w:vAlign w:val="center"/>
          </w:tcPr>
          <w:p w14:paraId="141D562A" w14:textId="77777777" w:rsidR="00247F3C" w:rsidRPr="00587E8C" w:rsidRDefault="00247F3C" w:rsidP="00D61103">
            <w:pPr>
              <w:jc w:val="center"/>
              <w:rPr>
                <w:sz w:val="16"/>
                <w:szCs w:val="16"/>
              </w:rPr>
            </w:pPr>
            <w:r w:rsidRPr="00587E8C">
              <w:rPr>
                <w:sz w:val="16"/>
                <w:szCs w:val="16"/>
              </w:rPr>
              <w:t>Los firmantes, manifestamos expresamente que hemos estudiado y revisado el presente acto administrativo, y por encontrarlo ajustado a las disposiciones constitucionales, legales y reglamentarias vigentes, lo presentamos para su firma bajo nuestra responsabilidad.</w:t>
            </w:r>
          </w:p>
        </w:tc>
      </w:tr>
    </w:tbl>
    <w:p w14:paraId="52ED73C7" w14:textId="77777777" w:rsidR="00247F3C" w:rsidRPr="00587E8C" w:rsidRDefault="00247F3C" w:rsidP="00607124">
      <w:pPr>
        <w:tabs>
          <w:tab w:val="left" w:pos="1344"/>
        </w:tabs>
        <w:rPr>
          <w:sz w:val="22"/>
          <w:szCs w:val="22"/>
        </w:rPr>
      </w:pPr>
    </w:p>
    <w:sectPr w:rsidR="00247F3C" w:rsidRPr="00587E8C" w:rsidSect="008A7302">
      <w:headerReference w:type="even" r:id="rId9"/>
      <w:headerReference w:type="default" r:id="rId10"/>
      <w:footerReference w:type="even" r:id="rId11"/>
      <w:footerReference w:type="default" r:id="rId12"/>
      <w:headerReference w:type="first" r:id="rId13"/>
      <w:footerReference w:type="first" r:id="rId14"/>
      <w:pgSz w:w="12242" w:h="18722" w:code="258"/>
      <w:pgMar w:top="1418" w:right="1701" w:bottom="1418" w:left="1701" w:header="709" w:footer="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60503" w14:textId="77777777" w:rsidR="00C952B1" w:rsidRDefault="00C952B1">
      <w:r>
        <w:separator/>
      </w:r>
    </w:p>
  </w:endnote>
  <w:endnote w:type="continuationSeparator" w:id="0">
    <w:p w14:paraId="4BE3BA87" w14:textId="77777777" w:rsidR="00C952B1" w:rsidRDefault="00C95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Lucida Grande">
    <w:altName w:val="Arial"/>
    <w:panose1 w:val="020B0600040502020204"/>
    <w:charset w:val="00"/>
    <w:family w:val="swiss"/>
    <w:pitch w:val="variable"/>
    <w:sig w:usb0="00000000" w:usb1="5000A1FF" w:usb2="00000000" w:usb3="00000000" w:csb0="000001BF" w:csb1="00000000"/>
  </w:font>
  <w:font w:name="Arial Narrow">
    <w:panose1 w:val="020B060602020203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A0979" w14:textId="77777777" w:rsidR="009F3E02" w:rsidRDefault="009F3E0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372F7" w14:textId="31106F3B" w:rsidR="000F21B9" w:rsidRDefault="00F225BD">
    <w:pPr>
      <w:pStyle w:val="Normal1"/>
      <w:pBdr>
        <w:top w:val="nil"/>
        <w:left w:val="nil"/>
        <w:bottom w:val="nil"/>
        <w:right w:val="nil"/>
        <w:between w:val="nil"/>
      </w:pBdr>
      <w:tabs>
        <w:tab w:val="center" w:pos="4419"/>
        <w:tab w:val="right" w:pos="8838"/>
      </w:tabs>
      <w:ind w:left="-1701"/>
      <w:rPr>
        <w:color w:val="000000"/>
      </w:rPr>
    </w:pPr>
    <w:r>
      <w:rPr>
        <w:noProof/>
        <w:lang w:eastAsia="es-CO"/>
      </w:rPr>
      <w:drawing>
        <wp:inline distT="114300" distB="114300" distL="114300" distR="114300" wp14:anchorId="6A78D7D6" wp14:editId="122073AB">
          <wp:extent cx="7781925" cy="100965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784129" cy="1009936"/>
                  </a:xfrm>
                  <a:prstGeom prst="rect">
                    <a:avLst/>
                  </a:prstGeom>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E2BBF" w14:textId="77777777" w:rsidR="009F3E02" w:rsidRDefault="009F3E0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28520" w14:textId="77777777" w:rsidR="00C952B1" w:rsidRDefault="00C952B1">
      <w:r>
        <w:separator/>
      </w:r>
    </w:p>
  </w:footnote>
  <w:footnote w:type="continuationSeparator" w:id="0">
    <w:p w14:paraId="1DB6758B" w14:textId="77777777" w:rsidR="00C952B1" w:rsidRDefault="00C95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99B57" w14:textId="48DF4948" w:rsidR="000F21B9" w:rsidRDefault="000F21B9">
    <w:pPr>
      <w:pStyle w:val="Normal1"/>
      <w:pBdr>
        <w:top w:val="nil"/>
        <w:left w:val="nil"/>
        <w:bottom w:val="nil"/>
        <w:right w:val="nil"/>
        <w:between w:val="nil"/>
      </w:pBdr>
      <w:tabs>
        <w:tab w:val="center" w:pos="4419"/>
        <w:tab w:val="right" w:pos="8838"/>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A1846" w14:textId="4BA131B1" w:rsidR="000F21B9" w:rsidRDefault="00000000">
    <w:pPr>
      <w:pStyle w:val="Normal1"/>
      <w:tabs>
        <w:tab w:val="center" w:pos="4419"/>
        <w:tab w:val="right" w:pos="8838"/>
      </w:tabs>
      <w:ind w:left="-284"/>
      <w:rPr>
        <w:color w:val="FF0000"/>
        <w:sz w:val="16"/>
        <w:szCs w:val="16"/>
      </w:rPr>
    </w:pPr>
    <w:sdt>
      <w:sdtPr>
        <w:rPr>
          <w:sz w:val="16"/>
          <w:szCs w:val="16"/>
          <w:lang w:val="es-ES"/>
        </w:rPr>
        <w:id w:val="-1764982762"/>
        <w:docPartObj>
          <w:docPartGallery w:val="Watermarks"/>
          <w:docPartUnique/>
        </w:docPartObj>
      </w:sdtPr>
      <w:sdtContent>
        <w:r w:rsidR="00C952B1">
          <w:rPr>
            <w:sz w:val="16"/>
            <w:szCs w:val="16"/>
            <w:lang w:val="es-ES"/>
          </w:rPr>
          <w:pict w14:anchorId="0C10DDD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alt="" style="position:absolute;left:0;text-align:left;margin-left:0;margin-top:0;width:412.4pt;height:247.45pt;rotation:315;z-index:-25165875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BORRADOR"/>
              <w10:wrap anchorx="margin" anchory="margin"/>
            </v:shape>
          </w:pict>
        </w:r>
      </w:sdtContent>
    </w:sdt>
    <w:r w:rsidR="00F225BD" w:rsidRPr="00587E8C">
      <w:rPr>
        <w:sz w:val="16"/>
        <w:szCs w:val="16"/>
        <w:lang w:val="es-ES"/>
      </w:rPr>
      <w:t xml:space="preserve">Página </w:t>
    </w:r>
    <w:r w:rsidR="00F225BD" w:rsidRPr="00587E8C">
      <w:rPr>
        <w:b/>
        <w:bCs/>
        <w:sz w:val="16"/>
        <w:szCs w:val="16"/>
      </w:rPr>
      <w:fldChar w:fldCharType="begin"/>
    </w:r>
    <w:r w:rsidR="00F225BD" w:rsidRPr="00587E8C">
      <w:rPr>
        <w:b/>
        <w:bCs/>
        <w:sz w:val="16"/>
        <w:szCs w:val="16"/>
      </w:rPr>
      <w:instrText>PAGE  \* Arabic  \* MERGEFORMAT</w:instrText>
    </w:r>
    <w:r w:rsidR="00F225BD" w:rsidRPr="00587E8C">
      <w:rPr>
        <w:b/>
        <w:bCs/>
        <w:sz w:val="16"/>
        <w:szCs w:val="16"/>
      </w:rPr>
      <w:fldChar w:fldCharType="separate"/>
    </w:r>
    <w:r w:rsidR="00B85550" w:rsidRPr="00B85550">
      <w:rPr>
        <w:b/>
        <w:bCs/>
        <w:noProof/>
        <w:sz w:val="16"/>
        <w:szCs w:val="16"/>
        <w:lang w:val="es-ES"/>
      </w:rPr>
      <w:t>1</w:t>
    </w:r>
    <w:r w:rsidR="00F225BD" w:rsidRPr="00587E8C">
      <w:rPr>
        <w:b/>
        <w:bCs/>
        <w:sz w:val="16"/>
        <w:szCs w:val="16"/>
      </w:rPr>
      <w:fldChar w:fldCharType="end"/>
    </w:r>
    <w:r w:rsidR="00F225BD" w:rsidRPr="00587E8C">
      <w:rPr>
        <w:sz w:val="16"/>
        <w:szCs w:val="16"/>
        <w:lang w:val="es-ES"/>
      </w:rPr>
      <w:t xml:space="preserve"> de </w:t>
    </w:r>
    <w:r w:rsidR="00F225BD" w:rsidRPr="00587E8C">
      <w:rPr>
        <w:b/>
        <w:bCs/>
        <w:sz w:val="16"/>
        <w:szCs w:val="16"/>
      </w:rPr>
      <w:fldChar w:fldCharType="begin"/>
    </w:r>
    <w:r w:rsidR="00F225BD" w:rsidRPr="00587E8C">
      <w:rPr>
        <w:b/>
        <w:bCs/>
        <w:sz w:val="16"/>
        <w:szCs w:val="16"/>
      </w:rPr>
      <w:instrText>NUMPAGES  \* Arabic  \* MERGEFORMAT</w:instrText>
    </w:r>
    <w:r w:rsidR="00F225BD" w:rsidRPr="00587E8C">
      <w:rPr>
        <w:b/>
        <w:bCs/>
        <w:sz w:val="16"/>
        <w:szCs w:val="16"/>
      </w:rPr>
      <w:fldChar w:fldCharType="separate"/>
    </w:r>
    <w:r w:rsidR="00B85550" w:rsidRPr="00B85550">
      <w:rPr>
        <w:b/>
        <w:bCs/>
        <w:noProof/>
        <w:sz w:val="16"/>
        <w:szCs w:val="16"/>
        <w:lang w:val="es-ES"/>
      </w:rPr>
      <w:t>9</w:t>
    </w:r>
    <w:r w:rsidR="00F225BD" w:rsidRPr="00587E8C">
      <w:rPr>
        <w:b/>
        <w:bCs/>
        <w:sz w:val="16"/>
        <w:szCs w:val="16"/>
      </w:rPr>
      <w:fldChar w:fldCharType="end"/>
    </w:r>
    <w:r w:rsidR="00587E8C">
      <w:rPr>
        <w:noProof/>
        <w:color w:val="000000"/>
        <w:lang w:eastAsia="es-CO"/>
      </w:rPr>
      <w:drawing>
        <wp:inline distT="0" distB="0" distL="0" distR="0" wp14:anchorId="08D3FA51" wp14:editId="24A2B28D">
          <wp:extent cx="6877050" cy="739552"/>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06367" cy="742705"/>
                  </a:xfrm>
                  <a:prstGeom prst="rect">
                    <a:avLst/>
                  </a:prstGeom>
                  <a:noFill/>
                </pic:spPr>
              </pic:pic>
            </a:graphicData>
          </a:graphic>
        </wp:inline>
      </w:drawing>
    </w:r>
  </w:p>
  <w:p w14:paraId="5B31FD82" w14:textId="390B3BA7" w:rsidR="000F21B9" w:rsidRDefault="000F21B9">
    <w:pPr>
      <w:pStyle w:val="Normal1"/>
      <w:pBdr>
        <w:top w:val="nil"/>
        <w:left w:val="nil"/>
        <w:bottom w:val="nil"/>
        <w:right w:val="nil"/>
        <w:between w:val="nil"/>
      </w:pBdr>
      <w:tabs>
        <w:tab w:val="center" w:pos="4419"/>
        <w:tab w:val="right" w:pos="8838"/>
      </w:tabs>
      <w:ind w:left="-284" w:firstLine="284"/>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02695" w14:textId="46912257" w:rsidR="000F21B9" w:rsidRDefault="000F21B9">
    <w:pPr>
      <w:pStyle w:val="Normal1"/>
      <w:pBdr>
        <w:top w:val="nil"/>
        <w:left w:val="nil"/>
        <w:bottom w:val="nil"/>
        <w:right w:val="nil"/>
        <w:between w:val="nil"/>
      </w:pBdr>
      <w:tabs>
        <w:tab w:val="center" w:pos="4419"/>
        <w:tab w:val="right" w:pos="88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91950"/>
    <w:multiLevelType w:val="hybridMultilevel"/>
    <w:tmpl w:val="92E61270"/>
    <w:lvl w:ilvl="0" w:tplc="240A0017">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B8A61B1"/>
    <w:multiLevelType w:val="hybridMultilevel"/>
    <w:tmpl w:val="BB58B17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A2B297C"/>
    <w:multiLevelType w:val="hybridMultilevel"/>
    <w:tmpl w:val="7864EF52"/>
    <w:lvl w:ilvl="0" w:tplc="C5D4E83A">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B455800"/>
    <w:multiLevelType w:val="multilevel"/>
    <w:tmpl w:val="72049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F70A22"/>
    <w:multiLevelType w:val="hybridMultilevel"/>
    <w:tmpl w:val="BC2A09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5DC1870"/>
    <w:multiLevelType w:val="hybridMultilevel"/>
    <w:tmpl w:val="89029DDE"/>
    <w:lvl w:ilvl="0" w:tplc="240A000F">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36912F9"/>
    <w:multiLevelType w:val="hybridMultilevel"/>
    <w:tmpl w:val="292856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5537B0A"/>
    <w:multiLevelType w:val="multilevel"/>
    <w:tmpl w:val="F4785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E63938"/>
    <w:multiLevelType w:val="multilevel"/>
    <w:tmpl w:val="B95A5A5C"/>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1074372"/>
    <w:multiLevelType w:val="hybridMultilevel"/>
    <w:tmpl w:val="552607D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5872592E"/>
    <w:multiLevelType w:val="multilevel"/>
    <w:tmpl w:val="231E9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F867495"/>
    <w:multiLevelType w:val="hybridMultilevel"/>
    <w:tmpl w:val="208C001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629C47E3"/>
    <w:multiLevelType w:val="hybridMultilevel"/>
    <w:tmpl w:val="2D26691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64E73872"/>
    <w:multiLevelType w:val="hybridMultilevel"/>
    <w:tmpl w:val="3DC4F9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654C6FA9"/>
    <w:multiLevelType w:val="hybridMultilevel"/>
    <w:tmpl w:val="A1BE9E5C"/>
    <w:lvl w:ilvl="0" w:tplc="256279FE">
      <w:numFmt w:val="bullet"/>
      <w:lvlText w:val="-"/>
      <w:lvlJc w:val="left"/>
      <w:pPr>
        <w:ind w:left="720" w:hanging="360"/>
      </w:pPr>
      <w:rPr>
        <w:rFonts w:ascii="Calibri" w:eastAsiaTheme="minorHAnsi"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69273B8F"/>
    <w:multiLevelType w:val="multilevel"/>
    <w:tmpl w:val="17580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A7C60F8"/>
    <w:multiLevelType w:val="hybridMultilevel"/>
    <w:tmpl w:val="854C1D2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76001F7F"/>
    <w:multiLevelType w:val="hybridMultilevel"/>
    <w:tmpl w:val="2BC47E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78D37872"/>
    <w:multiLevelType w:val="multilevel"/>
    <w:tmpl w:val="FAA89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EE01EFF"/>
    <w:multiLevelType w:val="hybridMultilevel"/>
    <w:tmpl w:val="C07A7C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272666812">
    <w:abstractNumId w:val="17"/>
  </w:num>
  <w:num w:numId="2" w16cid:durableId="1454447594">
    <w:abstractNumId w:val="7"/>
  </w:num>
  <w:num w:numId="3" w16cid:durableId="1616060439">
    <w:abstractNumId w:val="4"/>
  </w:num>
  <w:num w:numId="4" w16cid:durableId="1607074258">
    <w:abstractNumId w:val="3"/>
  </w:num>
  <w:num w:numId="5" w16cid:durableId="810319654">
    <w:abstractNumId w:val="8"/>
  </w:num>
  <w:num w:numId="6" w16cid:durableId="790903235">
    <w:abstractNumId w:val="12"/>
  </w:num>
  <w:num w:numId="7" w16cid:durableId="683366333">
    <w:abstractNumId w:val="13"/>
  </w:num>
  <w:num w:numId="8" w16cid:durableId="1803962872">
    <w:abstractNumId w:val="11"/>
  </w:num>
  <w:num w:numId="9" w16cid:durableId="807286405">
    <w:abstractNumId w:val="19"/>
  </w:num>
  <w:num w:numId="10" w16cid:durableId="1284383436">
    <w:abstractNumId w:val="5"/>
  </w:num>
  <w:num w:numId="11" w16cid:durableId="2118480919">
    <w:abstractNumId w:val="16"/>
  </w:num>
  <w:num w:numId="12" w16cid:durableId="1866399931">
    <w:abstractNumId w:val="6"/>
  </w:num>
  <w:num w:numId="13" w16cid:durableId="338698045">
    <w:abstractNumId w:val="9"/>
  </w:num>
  <w:num w:numId="14" w16cid:durableId="1511524398">
    <w:abstractNumId w:val="18"/>
  </w:num>
  <w:num w:numId="15" w16cid:durableId="434521679">
    <w:abstractNumId w:val="15"/>
  </w:num>
  <w:num w:numId="16" w16cid:durableId="992369608">
    <w:abstractNumId w:val="10"/>
  </w:num>
  <w:num w:numId="17" w16cid:durableId="1351031839">
    <w:abstractNumId w:val="1"/>
  </w:num>
  <w:num w:numId="18" w16cid:durableId="921379756">
    <w:abstractNumId w:val="14"/>
  </w:num>
  <w:num w:numId="19" w16cid:durableId="1553156462">
    <w:abstractNumId w:val="2"/>
  </w:num>
  <w:num w:numId="20" w16cid:durableId="21330160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trackRevisions/>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0D0D"/>
    <w:rsid w:val="00014477"/>
    <w:rsid w:val="000320C0"/>
    <w:rsid w:val="00033B6F"/>
    <w:rsid w:val="0004523C"/>
    <w:rsid w:val="00052218"/>
    <w:rsid w:val="00066116"/>
    <w:rsid w:val="00090645"/>
    <w:rsid w:val="00090956"/>
    <w:rsid w:val="000A2D3D"/>
    <w:rsid w:val="000B7AB1"/>
    <w:rsid w:val="000C7DD9"/>
    <w:rsid w:val="000F21B9"/>
    <w:rsid w:val="000F76AF"/>
    <w:rsid w:val="00100C1D"/>
    <w:rsid w:val="00103135"/>
    <w:rsid w:val="00107DAB"/>
    <w:rsid w:val="001129AF"/>
    <w:rsid w:val="001150D2"/>
    <w:rsid w:val="001156C2"/>
    <w:rsid w:val="00123BA2"/>
    <w:rsid w:val="001259F6"/>
    <w:rsid w:val="00130B41"/>
    <w:rsid w:val="00155327"/>
    <w:rsid w:val="001561BC"/>
    <w:rsid w:val="00162271"/>
    <w:rsid w:val="00173145"/>
    <w:rsid w:val="0017590B"/>
    <w:rsid w:val="001777D7"/>
    <w:rsid w:val="00177D6A"/>
    <w:rsid w:val="00196BF7"/>
    <w:rsid w:val="001A0A8C"/>
    <w:rsid w:val="001A39D0"/>
    <w:rsid w:val="001B735D"/>
    <w:rsid w:val="001C6BC0"/>
    <w:rsid w:val="001D5F92"/>
    <w:rsid w:val="001E07C0"/>
    <w:rsid w:val="001E424C"/>
    <w:rsid w:val="00202F5F"/>
    <w:rsid w:val="00222F1D"/>
    <w:rsid w:val="00247F3C"/>
    <w:rsid w:val="002561A8"/>
    <w:rsid w:val="00256D40"/>
    <w:rsid w:val="00276281"/>
    <w:rsid w:val="00291F05"/>
    <w:rsid w:val="002975CD"/>
    <w:rsid w:val="002A3698"/>
    <w:rsid w:val="002A6E9A"/>
    <w:rsid w:val="002B0E08"/>
    <w:rsid w:val="002B4F53"/>
    <w:rsid w:val="002C7E21"/>
    <w:rsid w:val="00304A41"/>
    <w:rsid w:val="00305121"/>
    <w:rsid w:val="00312627"/>
    <w:rsid w:val="0031673E"/>
    <w:rsid w:val="00321046"/>
    <w:rsid w:val="003258D8"/>
    <w:rsid w:val="00345F75"/>
    <w:rsid w:val="003462C1"/>
    <w:rsid w:val="00364160"/>
    <w:rsid w:val="0036702C"/>
    <w:rsid w:val="00373658"/>
    <w:rsid w:val="00394867"/>
    <w:rsid w:val="003973B3"/>
    <w:rsid w:val="003A0D8A"/>
    <w:rsid w:val="003D2FCD"/>
    <w:rsid w:val="003E0D0D"/>
    <w:rsid w:val="003F1C5E"/>
    <w:rsid w:val="004007A0"/>
    <w:rsid w:val="00405A12"/>
    <w:rsid w:val="00414D03"/>
    <w:rsid w:val="00435081"/>
    <w:rsid w:val="004357EA"/>
    <w:rsid w:val="004741E4"/>
    <w:rsid w:val="00480EC7"/>
    <w:rsid w:val="004865CD"/>
    <w:rsid w:val="00490366"/>
    <w:rsid w:val="004B1272"/>
    <w:rsid w:val="004B1844"/>
    <w:rsid w:val="004B6B33"/>
    <w:rsid w:val="004C50BF"/>
    <w:rsid w:val="00500BC2"/>
    <w:rsid w:val="00503D87"/>
    <w:rsid w:val="00517B17"/>
    <w:rsid w:val="00520630"/>
    <w:rsid w:val="00540EB6"/>
    <w:rsid w:val="0054352A"/>
    <w:rsid w:val="0054604B"/>
    <w:rsid w:val="00570E9F"/>
    <w:rsid w:val="00587E8C"/>
    <w:rsid w:val="005A2341"/>
    <w:rsid w:val="005B6D4B"/>
    <w:rsid w:val="005C06D7"/>
    <w:rsid w:val="005C5A2C"/>
    <w:rsid w:val="005C5B8D"/>
    <w:rsid w:val="005D2AA6"/>
    <w:rsid w:val="005D57D1"/>
    <w:rsid w:val="005D76B9"/>
    <w:rsid w:val="005F3653"/>
    <w:rsid w:val="00607124"/>
    <w:rsid w:val="006075B6"/>
    <w:rsid w:val="006108ED"/>
    <w:rsid w:val="00634903"/>
    <w:rsid w:val="00654FC3"/>
    <w:rsid w:val="00662B23"/>
    <w:rsid w:val="00663407"/>
    <w:rsid w:val="00677A3C"/>
    <w:rsid w:val="006A2E20"/>
    <w:rsid w:val="006D6F86"/>
    <w:rsid w:val="006E7C7E"/>
    <w:rsid w:val="006F4631"/>
    <w:rsid w:val="00710984"/>
    <w:rsid w:val="007233B4"/>
    <w:rsid w:val="00726701"/>
    <w:rsid w:val="00744C2E"/>
    <w:rsid w:val="007521BF"/>
    <w:rsid w:val="00762BE9"/>
    <w:rsid w:val="007709C9"/>
    <w:rsid w:val="00775F8F"/>
    <w:rsid w:val="007906B8"/>
    <w:rsid w:val="00796C9A"/>
    <w:rsid w:val="007A3572"/>
    <w:rsid w:val="007A4CF4"/>
    <w:rsid w:val="007B0B80"/>
    <w:rsid w:val="007B6694"/>
    <w:rsid w:val="007C4972"/>
    <w:rsid w:val="007C7048"/>
    <w:rsid w:val="007D08D1"/>
    <w:rsid w:val="007E60F5"/>
    <w:rsid w:val="007F2A5F"/>
    <w:rsid w:val="00800D72"/>
    <w:rsid w:val="008034A9"/>
    <w:rsid w:val="00812A34"/>
    <w:rsid w:val="00821D6C"/>
    <w:rsid w:val="00841105"/>
    <w:rsid w:val="008711EB"/>
    <w:rsid w:val="0089134E"/>
    <w:rsid w:val="00894D05"/>
    <w:rsid w:val="008A07B4"/>
    <w:rsid w:val="008A59DE"/>
    <w:rsid w:val="008A7302"/>
    <w:rsid w:val="008B401D"/>
    <w:rsid w:val="008C3A4A"/>
    <w:rsid w:val="008D44B9"/>
    <w:rsid w:val="008D54FA"/>
    <w:rsid w:val="00927E1E"/>
    <w:rsid w:val="0096124E"/>
    <w:rsid w:val="00963FFC"/>
    <w:rsid w:val="00966059"/>
    <w:rsid w:val="00972186"/>
    <w:rsid w:val="00975397"/>
    <w:rsid w:val="009900D6"/>
    <w:rsid w:val="00992FDC"/>
    <w:rsid w:val="009A71A8"/>
    <w:rsid w:val="009B65DD"/>
    <w:rsid w:val="009B6AE4"/>
    <w:rsid w:val="009C2992"/>
    <w:rsid w:val="009C377F"/>
    <w:rsid w:val="009D5168"/>
    <w:rsid w:val="009F3E02"/>
    <w:rsid w:val="00A0258D"/>
    <w:rsid w:val="00A21DF2"/>
    <w:rsid w:val="00A63ED3"/>
    <w:rsid w:val="00A64C9C"/>
    <w:rsid w:val="00A769D5"/>
    <w:rsid w:val="00A97435"/>
    <w:rsid w:val="00AA3C9D"/>
    <w:rsid w:val="00AA7C37"/>
    <w:rsid w:val="00AB5850"/>
    <w:rsid w:val="00AB752F"/>
    <w:rsid w:val="00AD6119"/>
    <w:rsid w:val="00AD7BEA"/>
    <w:rsid w:val="00AE15A3"/>
    <w:rsid w:val="00AE5D4D"/>
    <w:rsid w:val="00AE79F1"/>
    <w:rsid w:val="00B05B58"/>
    <w:rsid w:val="00B13926"/>
    <w:rsid w:val="00B150DC"/>
    <w:rsid w:val="00B3629E"/>
    <w:rsid w:val="00B43EF1"/>
    <w:rsid w:val="00B77488"/>
    <w:rsid w:val="00B85550"/>
    <w:rsid w:val="00BB433D"/>
    <w:rsid w:val="00BC79AD"/>
    <w:rsid w:val="00BD5D0F"/>
    <w:rsid w:val="00BD67CA"/>
    <w:rsid w:val="00BE1560"/>
    <w:rsid w:val="00BE17C8"/>
    <w:rsid w:val="00BE59F2"/>
    <w:rsid w:val="00C534BE"/>
    <w:rsid w:val="00C542F4"/>
    <w:rsid w:val="00C61AD7"/>
    <w:rsid w:val="00C62BBE"/>
    <w:rsid w:val="00C6524D"/>
    <w:rsid w:val="00C80E3E"/>
    <w:rsid w:val="00C952B1"/>
    <w:rsid w:val="00CA4521"/>
    <w:rsid w:val="00CA4F06"/>
    <w:rsid w:val="00CA634F"/>
    <w:rsid w:val="00CB6082"/>
    <w:rsid w:val="00CD2287"/>
    <w:rsid w:val="00CE0824"/>
    <w:rsid w:val="00CE1DCF"/>
    <w:rsid w:val="00CE50BA"/>
    <w:rsid w:val="00CF4FA8"/>
    <w:rsid w:val="00D12AC5"/>
    <w:rsid w:val="00D15E56"/>
    <w:rsid w:val="00D36A0B"/>
    <w:rsid w:val="00D41506"/>
    <w:rsid w:val="00D541E4"/>
    <w:rsid w:val="00D5639F"/>
    <w:rsid w:val="00D71665"/>
    <w:rsid w:val="00D73646"/>
    <w:rsid w:val="00D84228"/>
    <w:rsid w:val="00D94827"/>
    <w:rsid w:val="00DA5DB8"/>
    <w:rsid w:val="00DD08A3"/>
    <w:rsid w:val="00DD287E"/>
    <w:rsid w:val="00DD4040"/>
    <w:rsid w:val="00DE72F7"/>
    <w:rsid w:val="00E04A19"/>
    <w:rsid w:val="00E15C0D"/>
    <w:rsid w:val="00E1629D"/>
    <w:rsid w:val="00E42526"/>
    <w:rsid w:val="00E527E2"/>
    <w:rsid w:val="00E6095E"/>
    <w:rsid w:val="00E7063A"/>
    <w:rsid w:val="00E7772C"/>
    <w:rsid w:val="00E8613B"/>
    <w:rsid w:val="00EA5A0E"/>
    <w:rsid w:val="00EB28DF"/>
    <w:rsid w:val="00EB3AD8"/>
    <w:rsid w:val="00EC41D0"/>
    <w:rsid w:val="00ED7B3B"/>
    <w:rsid w:val="00EE0F9A"/>
    <w:rsid w:val="00F0098F"/>
    <w:rsid w:val="00F03B64"/>
    <w:rsid w:val="00F11536"/>
    <w:rsid w:val="00F120A2"/>
    <w:rsid w:val="00F20916"/>
    <w:rsid w:val="00F213A7"/>
    <w:rsid w:val="00F225BD"/>
    <w:rsid w:val="00F25034"/>
    <w:rsid w:val="00F30F34"/>
    <w:rsid w:val="00F37083"/>
    <w:rsid w:val="00F46050"/>
    <w:rsid w:val="00F57447"/>
    <w:rsid w:val="00F60D0A"/>
    <w:rsid w:val="00F62B5F"/>
    <w:rsid w:val="00F95648"/>
    <w:rsid w:val="00FA17DF"/>
    <w:rsid w:val="00FA7380"/>
    <w:rsid w:val="00FB11CF"/>
    <w:rsid w:val="00FB28CA"/>
    <w:rsid w:val="00FC7E72"/>
    <w:rsid w:val="00FE2594"/>
    <w:rsid w:val="00FE2676"/>
    <w:rsid w:val="00FE377F"/>
    <w:rsid w:val="00FE70F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629C3C2"/>
  <w15:docId w15:val="{F9EF9E14-DFB5-42E5-A1B7-0B6698135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0BC2"/>
  </w:style>
  <w:style w:type="paragraph" w:styleId="Ttulo1">
    <w:name w:val="heading 1"/>
    <w:basedOn w:val="Normal1"/>
    <w:next w:val="Normal1"/>
    <w:pPr>
      <w:keepNext/>
      <w:keepLines/>
      <w:spacing w:before="480" w:after="120"/>
      <w:outlineLvl w:val="0"/>
    </w:pPr>
    <w:rPr>
      <w:b/>
      <w:sz w:val="48"/>
      <w:szCs w:val="48"/>
    </w:rPr>
  </w:style>
  <w:style w:type="paragraph" w:styleId="Ttulo2">
    <w:name w:val="heading 2"/>
    <w:basedOn w:val="Normal1"/>
    <w:next w:val="Normal1"/>
    <w:pPr>
      <w:keepNext/>
      <w:keepLines/>
      <w:spacing w:before="360" w:after="80"/>
      <w:outlineLvl w:val="1"/>
    </w:pPr>
    <w:rPr>
      <w:b/>
      <w:sz w:val="36"/>
      <w:szCs w:val="36"/>
    </w:rPr>
  </w:style>
  <w:style w:type="paragraph" w:styleId="Ttulo3">
    <w:name w:val="heading 3"/>
    <w:basedOn w:val="Normal1"/>
    <w:next w:val="Normal1"/>
    <w:pPr>
      <w:keepNext/>
      <w:keepLines/>
      <w:spacing w:before="280" w:after="80"/>
      <w:outlineLvl w:val="2"/>
    </w:pPr>
    <w:rPr>
      <w:b/>
      <w:sz w:val="28"/>
      <w:szCs w:val="28"/>
    </w:rPr>
  </w:style>
  <w:style w:type="paragraph" w:styleId="Ttulo4">
    <w:name w:val="heading 4"/>
    <w:basedOn w:val="Normal1"/>
    <w:next w:val="Normal1"/>
    <w:pPr>
      <w:keepNext/>
      <w:keepLines/>
      <w:spacing w:before="240" w:after="40"/>
      <w:outlineLvl w:val="3"/>
    </w:pPr>
    <w:rPr>
      <w:b/>
    </w:rPr>
  </w:style>
  <w:style w:type="paragraph" w:styleId="Ttulo5">
    <w:name w:val="heading 5"/>
    <w:basedOn w:val="Normal1"/>
    <w:next w:val="Normal1"/>
    <w:pPr>
      <w:keepNext/>
      <w:keepLines/>
      <w:spacing w:before="220" w:after="40"/>
      <w:outlineLvl w:val="4"/>
    </w:pPr>
    <w:rPr>
      <w:b/>
      <w:sz w:val="22"/>
      <w:szCs w:val="22"/>
    </w:rPr>
  </w:style>
  <w:style w:type="paragraph" w:styleId="Ttulo6">
    <w:name w:val="heading 6"/>
    <w:basedOn w:val="Normal1"/>
    <w:next w:val="Normal1"/>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1">
    <w:name w:val="Normal1"/>
  </w:style>
  <w:style w:type="table" w:customStyle="1" w:styleId="TableNormal">
    <w:name w:val="Table Normal"/>
    <w:tblPr>
      <w:tblCellMar>
        <w:top w:w="0" w:type="dxa"/>
        <w:left w:w="0" w:type="dxa"/>
        <w:bottom w:w="0" w:type="dxa"/>
        <w:right w:w="0" w:type="dxa"/>
      </w:tblCellMar>
    </w:tblPr>
  </w:style>
  <w:style w:type="paragraph" w:styleId="Ttulo">
    <w:name w:val="Title"/>
    <w:basedOn w:val="Normal1"/>
    <w:next w:val="Normal1"/>
    <w:pPr>
      <w:keepNext/>
      <w:keepLines/>
      <w:spacing w:before="480" w:after="120"/>
    </w:pPr>
    <w:rPr>
      <w:b/>
      <w:sz w:val="72"/>
      <w:szCs w:val="72"/>
    </w:rPr>
  </w:style>
  <w:style w:type="paragraph" w:styleId="Subttulo">
    <w:name w:val="Subtitle"/>
    <w:basedOn w:val="Normal1"/>
    <w:next w:val="Normal1"/>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108" w:type="dxa"/>
        <w:right w:w="108" w:type="dxa"/>
      </w:tblCellMar>
    </w:tblPr>
  </w:style>
  <w:style w:type="paragraph" w:styleId="Textodeglobo">
    <w:name w:val="Balloon Text"/>
    <w:basedOn w:val="Normal"/>
    <w:link w:val="TextodegloboCar"/>
    <w:uiPriority w:val="99"/>
    <w:semiHidden/>
    <w:unhideWhenUsed/>
    <w:rsid w:val="00173145"/>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173145"/>
    <w:rPr>
      <w:rFonts w:ascii="Lucida Grande" w:hAnsi="Lucida Grande" w:cs="Lucida Grande"/>
      <w:sz w:val="18"/>
      <w:szCs w:val="18"/>
    </w:rPr>
  </w:style>
  <w:style w:type="paragraph" w:styleId="Piedepgina">
    <w:name w:val="footer"/>
    <w:basedOn w:val="Normal"/>
    <w:link w:val="PiedepginaCar"/>
    <w:uiPriority w:val="99"/>
    <w:unhideWhenUsed/>
    <w:rsid w:val="00EE0F9A"/>
    <w:pPr>
      <w:tabs>
        <w:tab w:val="center" w:pos="4419"/>
        <w:tab w:val="right" w:pos="8838"/>
      </w:tabs>
    </w:pPr>
  </w:style>
  <w:style w:type="character" w:customStyle="1" w:styleId="PiedepginaCar">
    <w:name w:val="Pie de página Car"/>
    <w:basedOn w:val="Fuentedeprrafopredeter"/>
    <w:link w:val="Piedepgina"/>
    <w:uiPriority w:val="99"/>
    <w:rsid w:val="00EE0F9A"/>
  </w:style>
  <w:style w:type="paragraph" w:styleId="Encabezado">
    <w:name w:val="header"/>
    <w:basedOn w:val="Normal"/>
    <w:link w:val="EncabezadoCar"/>
    <w:uiPriority w:val="99"/>
    <w:semiHidden/>
    <w:unhideWhenUsed/>
    <w:rsid w:val="001E07C0"/>
    <w:pPr>
      <w:tabs>
        <w:tab w:val="center" w:pos="4419"/>
        <w:tab w:val="right" w:pos="8838"/>
      </w:tabs>
    </w:pPr>
  </w:style>
  <w:style w:type="character" w:customStyle="1" w:styleId="EncabezadoCar">
    <w:name w:val="Encabezado Car"/>
    <w:basedOn w:val="Fuentedeprrafopredeter"/>
    <w:link w:val="Encabezado"/>
    <w:uiPriority w:val="99"/>
    <w:semiHidden/>
    <w:rsid w:val="001E07C0"/>
  </w:style>
  <w:style w:type="paragraph" w:styleId="Prrafodelista">
    <w:name w:val="List Paragraph"/>
    <w:basedOn w:val="Normal"/>
    <w:link w:val="PrrafodelistaCar"/>
    <w:uiPriority w:val="34"/>
    <w:qFormat/>
    <w:rsid w:val="00480EC7"/>
    <w:pPr>
      <w:ind w:left="720"/>
      <w:contextualSpacing/>
    </w:pPr>
  </w:style>
  <w:style w:type="paragraph" w:styleId="Descripcin">
    <w:name w:val="caption"/>
    <w:aliases w:val="Figura Car,Figura Car Car,Tabla1,Tabla2,Título tabla/gráfica,T...,Título tabla/gráfica1,Título tabla/gráfica2,Título tabla/gráfica3,Título tabla/gráfica4,Título tabla/gráfica5,Título tabla/gráfica6,Título tabla/gráfica7,JULY Epígrafe,Tabla"/>
    <w:basedOn w:val="Normal"/>
    <w:next w:val="Normal"/>
    <w:link w:val="DescripcinCar"/>
    <w:uiPriority w:val="35"/>
    <w:unhideWhenUsed/>
    <w:qFormat/>
    <w:rsid w:val="00305121"/>
    <w:pPr>
      <w:spacing w:after="200"/>
      <w:jc w:val="both"/>
    </w:pPr>
    <w:rPr>
      <w:rFonts w:ascii="Arial Narrow" w:hAnsi="Arial Narrow" w:cs="Times New Roman"/>
      <w:b/>
      <w:bCs/>
      <w:color w:val="4F81BD"/>
      <w:sz w:val="18"/>
      <w:szCs w:val="18"/>
      <w:lang w:val="es-ES" w:eastAsia="en-US"/>
    </w:rPr>
  </w:style>
  <w:style w:type="character" w:customStyle="1" w:styleId="DescripcinCar">
    <w:name w:val="Descripción Car"/>
    <w:aliases w:val="Figura Car Car1,Figura Car Car Car,Tabla1 Car,Tabla2 Car,Título tabla/gráfica Car,T... Car,Título tabla/gráfica1 Car,Título tabla/gráfica2 Car,Título tabla/gráfica3 Car,Título tabla/gráfica4 Car,Título tabla/gráfica5 Car,Tabla Car"/>
    <w:link w:val="Descripcin"/>
    <w:uiPriority w:val="35"/>
    <w:rsid w:val="00305121"/>
    <w:rPr>
      <w:rFonts w:ascii="Arial Narrow" w:hAnsi="Arial Narrow" w:cs="Times New Roman"/>
      <w:b/>
      <w:bCs/>
      <w:color w:val="4F81BD"/>
      <w:sz w:val="18"/>
      <w:szCs w:val="18"/>
      <w:lang w:val="es-ES" w:eastAsia="en-US"/>
    </w:rPr>
  </w:style>
  <w:style w:type="character" w:customStyle="1" w:styleId="PrrafodelistaCar">
    <w:name w:val="Párrafo de lista Car"/>
    <w:link w:val="Prrafodelista"/>
    <w:uiPriority w:val="34"/>
    <w:locked/>
    <w:rsid w:val="004865CD"/>
  </w:style>
  <w:style w:type="character" w:styleId="nfasissutil">
    <w:name w:val="Subtle Emphasis"/>
    <w:basedOn w:val="Fuentedeprrafopredeter"/>
    <w:uiPriority w:val="19"/>
    <w:qFormat/>
    <w:rsid w:val="008A7302"/>
    <w:rPr>
      <w:i/>
      <w:iCs/>
      <w:color w:val="404040" w:themeColor="text1" w:themeTint="BF"/>
    </w:rPr>
  </w:style>
  <w:style w:type="paragraph" w:styleId="Sinespaciado">
    <w:name w:val="No Spacing"/>
    <w:link w:val="SinespaciadoCar"/>
    <w:uiPriority w:val="1"/>
    <w:qFormat/>
    <w:rsid w:val="008A7302"/>
    <w:rPr>
      <w:rFonts w:ascii="Arial" w:eastAsia="Times New Roman" w:hAnsi="Arial" w:cs="Arial"/>
      <w:sz w:val="22"/>
      <w:szCs w:val="20"/>
      <w:lang w:eastAsia="es-CO"/>
    </w:rPr>
  </w:style>
  <w:style w:type="character" w:customStyle="1" w:styleId="SinespaciadoCar">
    <w:name w:val="Sin espaciado Car"/>
    <w:basedOn w:val="Fuentedeprrafopredeter"/>
    <w:link w:val="Sinespaciado"/>
    <w:uiPriority w:val="1"/>
    <w:locked/>
    <w:rsid w:val="008A7302"/>
    <w:rPr>
      <w:rFonts w:ascii="Arial" w:eastAsia="Times New Roman" w:hAnsi="Arial" w:cs="Arial"/>
      <w:sz w:val="22"/>
      <w:szCs w:val="20"/>
      <w:lang w:eastAsia="es-CO"/>
    </w:rPr>
  </w:style>
  <w:style w:type="paragraph" w:customStyle="1" w:styleId="p1">
    <w:name w:val="p1"/>
    <w:basedOn w:val="Normal"/>
    <w:rsid w:val="0089134E"/>
    <w:pPr>
      <w:spacing w:before="100" w:beforeAutospacing="1" w:after="100" w:afterAutospacing="1"/>
    </w:pPr>
    <w:rPr>
      <w:rFonts w:ascii="Times New Roman" w:eastAsia="Times New Roman" w:hAnsi="Times New Roman" w:cs="Times New Roman"/>
      <w:lang w:eastAsia="es-MX"/>
    </w:rPr>
  </w:style>
  <w:style w:type="character" w:customStyle="1" w:styleId="s1">
    <w:name w:val="s1"/>
    <w:basedOn w:val="Fuentedeprrafopredeter"/>
    <w:rsid w:val="0089134E"/>
  </w:style>
  <w:style w:type="paragraph" w:styleId="NormalWeb">
    <w:name w:val="Normal (Web)"/>
    <w:basedOn w:val="Normal"/>
    <w:uiPriority w:val="99"/>
    <w:unhideWhenUsed/>
    <w:rsid w:val="0089134E"/>
    <w:pPr>
      <w:spacing w:before="100" w:beforeAutospacing="1" w:after="100" w:afterAutospacing="1"/>
    </w:pPr>
    <w:rPr>
      <w:rFonts w:ascii="Times New Roman" w:eastAsia="Times New Roman" w:hAnsi="Times New Roman" w:cs="Times New Roman"/>
      <w:lang w:eastAsia="es-MX"/>
    </w:rPr>
  </w:style>
  <w:style w:type="character" w:customStyle="1" w:styleId="apple-converted-space">
    <w:name w:val="apple-converted-space"/>
    <w:basedOn w:val="Fuentedeprrafopredeter"/>
    <w:rsid w:val="0089134E"/>
  </w:style>
  <w:style w:type="character" w:styleId="Textoennegrita">
    <w:name w:val="Strong"/>
    <w:basedOn w:val="Fuentedeprrafopredeter"/>
    <w:uiPriority w:val="22"/>
    <w:qFormat/>
    <w:rsid w:val="00107DAB"/>
    <w:rPr>
      <w:b/>
      <w:bCs/>
    </w:rPr>
  </w:style>
  <w:style w:type="character" w:styleId="Hipervnculo">
    <w:name w:val="Hyperlink"/>
    <w:basedOn w:val="Fuentedeprrafopredeter"/>
    <w:uiPriority w:val="99"/>
    <w:unhideWhenUsed/>
    <w:rsid w:val="00F225BD"/>
    <w:rPr>
      <w:color w:val="0000FF"/>
      <w:u w:val="single"/>
    </w:rPr>
  </w:style>
  <w:style w:type="character" w:styleId="Refdecomentario">
    <w:name w:val="annotation reference"/>
    <w:basedOn w:val="Fuentedeprrafopredeter"/>
    <w:uiPriority w:val="99"/>
    <w:semiHidden/>
    <w:unhideWhenUsed/>
    <w:rsid w:val="007E60F5"/>
    <w:rPr>
      <w:sz w:val="16"/>
      <w:szCs w:val="16"/>
    </w:rPr>
  </w:style>
  <w:style w:type="paragraph" w:styleId="Textocomentario">
    <w:name w:val="annotation text"/>
    <w:basedOn w:val="Normal"/>
    <w:link w:val="TextocomentarioCar"/>
    <w:uiPriority w:val="99"/>
    <w:semiHidden/>
    <w:unhideWhenUsed/>
    <w:rsid w:val="007E60F5"/>
    <w:rPr>
      <w:sz w:val="20"/>
      <w:szCs w:val="20"/>
    </w:rPr>
  </w:style>
  <w:style w:type="character" w:customStyle="1" w:styleId="TextocomentarioCar">
    <w:name w:val="Texto comentario Car"/>
    <w:basedOn w:val="Fuentedeprrafopredeter"/>
    <w:link w:val="Textocomentario"/>
    <w:uiPriority w:val="99"/>
    <w:semiHidden/>
    <w:rsid w:val="007E60F5"/>
    <w:rPr>
      <w:sz w:val="20"/>
      <w:szCs w:val="20"/>
    </w:rPr>
  </w:style>
  <w:style w:type="paragraph" w:styleId="Asuntodelcomentario">
    <w:name w:val="annotation subject"/>
    <w:basedOn w:val="Textocomentario"/>
    <w:next w:val="Textocomentario"/>
    <w:link w:val="AsuntodelcomentarioCar"/>
    <w:uiPriority w:val="99"/>
    <w:semiHidden/>
    <w:unhideWhenUsed/>
    <w:rsid w:val="007E60F5"/>
    <w:rPr>
      <w:b/>
      <w:bCs/>
    </w:rPr>
  </w:style>
  <w:style w:type="character" w:customStyle="1" w:styleId="AsuntodelcomentarioCar">
    <w:name w:val="Asunto del comentario Car"/>
    <w:basedOn w:val="TextocomentarioCar"/>
    <w:link w:val="Asuntodelcomentario"/>
    <w:uiPriority w:val="99"/>
    <w:semiHidden/>
    <w:rsid w:val="007E60F5"/>
    <w:rPr>
      <w:b/>
      <w:bCs/>
      <w:sz w:val="20"/>
      <w:szCs w:val="20"/>
    </w:rPr>
  </w:style>
  <w:style w:type="paragraph" w:styleId="Revisin">
    <w:name w:val="Revision"/>
    <w:hidden/>
    <w:uiPriority w:val="99"/>
    <w:semiHidden/>
    <w:rsid w:val="007906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50181">
      <w:bodyDiv w:val="1"/>
      <w:marLeft w:val="0"/>
      <w:marRight w:val="0"/>
      <w:marTop w:val="0"/>
      <w:marBottom w:val="0"/>
      <w:divBdr>
        <w:top w:val="none" w:sz="0" w:space="0" w:color="auto"/>
        <w:left w:val="none" w:sz="0" w:space="0" w:color="auto"/>
        <w:bottom w:val="none" w:sz="0" w:space="0" w:color="auto"/>
        <w:right w:val="none" w:sz="0" w:space="0" w:color="auto"/>
      </w:divBdr>
      <w:divsChild>
        <w:div w:id="2042239559">
          <w:marLeft w:val="0"/>
          <w:marRight w:val="0"/>
          <w:marTop w:val="0"/>
          <w:marBottom w:val="0"/>
          <w:divBdr>
            <w:top w:val="none" w:sz="0" w:space="0" w:color="auto"/>
            <w:left w:val="none" w:sz="0" w:space="0" w:color="auto"/>
            <w:bottom w:val="none" w:sz="0" w:space="0" w:color="auto"/>
            <w:right w:val="none" w:sz="0" w:space="0" w:color="auto"/>
          </w:divBdr>
          <w:divsChild>
            <w:div w:id="1598174145">
              <w:marLeft w:val="0"/>
              <w:marRight w:val="0"/>
              <w:marTop w:val="0"/>
              <w:marBottom w:val="300"/>
              <w:divBdr>
                <w:top w:val="none" w:sz="0" w:space="0" w:color="auto"/>
                <w:left w:val="none" w:sz="0" w:space="0" w:color="auto"/>
                <w:bottom w:val="none" w:sz="0" w:space="0" w:color="auto"/>
                <w:right w:val="none" w:sz="0" w:space="0" w:color="auto"/>
              </w:divBdr>
            </w:div>
          </w:divsChild>
        </w:div>
        <w:div w:id="2098818414">
          <w:marLeft w:val="0"/>
          <w:marRight w:val="0"/>
          <w:marTop w:val="0"/>
          <w:marBottom w:val="0"/>
          <w:divBdr>
            <w:top w:val="none" w:sz="0" w:space="0" w:color="auto"/>
            <w:left w:val="none" w:sz="0" w:space="0" w:color="auto"/>
            <w:bottom w:val="none" w:sz="0" w:space="0" w:color="auto"/>
            <w:right w:val="none" w:sz="0" w:space="0" w:color="auto"/>
          </w:divBdr>
          <w:divsChild>
            <w:div w:id="321542644">
              <w:marLeft w:val="0"/>
              <w:marRight w:val="0"/>
              <w:marTop w:val="150"/>
              <w:marBottom w:val="300"/>
              <w:divBdr>
                <w:top w:val="none" w:sz="0" w:space="0" w:color="auto"/>
                <w:left w:val="none" w:sz="0" w:space="0" w:color="auto"/>
                <w:bottom w:val="none" w:sz="0" w:space="0" w:color="auto"/>
                <w:right w:val="none" w:sz="0" w:space="0" w:color="auto"/>
              </w:divBdr>
            </w:div>
          </w:divsChild>
        </w:div>
        <w:div w:id="496656772">
          <w:marLeft w:val="0"/>
          <w:marRight w:val="0"/>
          <w:marTop w:val="0"/>
          <w:marBottom w:val="0"/>
          <w:divBdr>
            <w:top w:val="none" w:sz="0" w:space="0" w:color="auto"/>
            <w:left w:val="none" w:sz="0" w:space="0" w:color="auto"/>
            <w:bottom w:val="none" w:sz="0" w:space="0" w:color="auto"/>
            <w:right w:val="none" w:sz="0" w:space="0" w:color="auto"/>
          </w:divBdr>
          <w:divsChild>
            <w:div w:id="1865634486">
              <w:marLeft w:val="0"/>
              <w:marRight w:val="0"/>
              <w:marTop w:val="0"/>
              <w:marBottom w:val="0"/>
              <w:divBdr>
                <w:top w:val="none" w:sz="0" w:space="0" w:color="auto"/>
                <w:left w:val="none" w:sz="0" w:space="0" w:color="auto"/>
                <w:bottom w:val="none" w:sz="0" w:space="0" w:color="auto"/>
                <w:right w:val="none" w:sz="0" w:space="0" w:color="auto"/>
              </w:divBdr>
              <w:divsChild>
                <w:div w:id="886330654">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324892320">
          <w:marLeft w:val="0"/>
          <w:marRight w:val="0"/>
          <w:marTop w:val="0"/>
          <w:marBottom w:val="0"/>
          <w:divBdr>
            <w:top w:val="none" w:sz="0" w:space="0" w:color="auto"/>
            <w:left w:val="none" w:sz="0" w:space="0" w:color="auto"/>
            <w:bottom w:val="none" w:sz="0" w:space="0" w:color="auto"/>
            <w:right w:val="none" w:sz="0" w:space="0" w:color="auto"/>
          </w:divBdr>
          <w:divsChild>
            <w:div w:id="400493444">
              <w:marLeft w:val="0"/>
              <w:marRight w:val="0"/>
              <w:marTop w:val="0"/>
              <w:marBottom w:val="0"/>
              <w:divBdr>
                <w:top w:val="none" w:sz="0" w:space="0" w:color="auto"/>
                <w:left w:val="none" w:sz="0" w:space="0" w:color="auto"/>
                <w:bottom w:val="none" w:sz="0" w:space="0" w:color="auto"/>
                <w:right w:val="none" w:sz="0" w:space="0" w:color="auto"/>
              </w:divBdr>
              <w:divsChild>
                <w:div w:id="536041786">
                  <w:marLeft w:val="0"/>
                  <w:marRight w:val="0"/>
                  <w:marTop w:val="0"/>
                  <w:marBottom w:val="0"/>
                  <w:divBdr>
                    <w:top w:val="none" w:sz="0" w:space="0" w:color="auto"/>
                    <w:left w:val="none" w:sz="0" w:space="0" w:color="auto"/>
                    <w:bottom w:val="none" w:sz="0" w:space="0" w:color="auto"/>
                    <w:right w:val="none" w:sz="0" w:space="0" w:color="auto"/>
                  </w:divBdr>
                  <w:divsChild>
                    <w:div w:id="1418360698">
                      <w:marLeft w:val="0"/>
                      <w:marRight w:val="0"/>
                      <w:marTop w:val="0"/>
                      <w:marBottom w:val="0"/>
                      <w:divBdr>
                        <w:top w:val="none" w:sz="0" w:space="0" w:color="auto"/>
                        <w:left w:val="none" w:sz="0" w:space="0" w:color="auto"/>
                        <w:bottom w:val="none" w:sz="0" w:space="0" w:color="auto"/>
                        <w:right w:val="none" w:sz="0" w:space="0" w:color="auto"/>
                      </w:divBdr>
                      <w:divsChild>
                        <w:div w:id="449326105">
                          <w:marLeft w:val="0"/>
                          <w:marRight w:val="0"/>
                          <w:marTop w:val="0"/>
                          <w:marBottom w:val="0"/>
                          <w:divBdr>
                            <w:top w:val="none" w:sz="0" w:space="0" w:color="auto"/>
                            <w:left w:val="none" w:sz="0" w:space="0" w:color="auto"/>
                            <w:bottom w:val="none" w:sz="0" w:space="0" w:color="auto"/>
                            <w:right w:val="none" w:sz="0" w:space="0" w:color="auto"/>
                          </w:divBdr>
                          <w:divsChild>
                            <w:div w:id="1253054570">
                              <w:marLeft w:val="0"/>
                              <w:marRight w:val="0"/>
                              <w:marTop w:val="0"/>
                              <w:marBottom w:val="0"/>
                              <w:divBdr>
                                <w:top w:val="none" w:sz="0" w:space="0" w:color="auto"/>
                                <w:left w:val="none" w:sz="0" w:space="0" w:color="auto"/>
                                <w:bottom w:val="none" w:sz="0" w:space="0" w:color="auto"/>
                                <w:right w:val="none" w:sz="0" w:space="0" w:color="auto"/>
                              </w:divBdr>
                              <w:divsChild>
                                <w:div w:id="1030033793">
                                  <w:marLeft w:val="0"/>
                                  <w:marRight w:val="0"/>
                                  <w:marTop w:val="0"/>
                                  <w:marBottom w:val="0"/>
                                  <w:divBdr>
                                    <w:top w:val="none" w:sz="0" w:space="0" w:color="auto"/>
                                    <w:left w:val="none" w:sz="0" w:space="0" w:color="auto"/>
                                    <w:bottom w:val="none" w:sz="0" w:space="0" w:color="auto"/>
                                    <w:right w:val="none" w:sz="0" w:space="0" w:color="auto"/>
                                  </w:divBdr>
                                </w:div>
                                <w:div w:id="1254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0767236">
                  <w:marLeft w:val="0"/>
                  <w:marRight w:val="0"/>
                  <w:marTop w:val="0"/>
                  <w:marBottom w:val="0"/>
                  <w:divBdr>
                    <w:top w:val="none" w:sz="0" w:space="0" w:color="auto"/>
                    <w:left w:val="none" w:sz="0" w:space="0" w:color="auto"/>
                    <w:bottom w:val="none" w:sz="0" w:space="0" w:color="auto"/>
                    <w:right w:val="none" w:sz="0" w:space="0" w:color="auto"/>
                  </w:divBdr>
                  <w:divsChild>
                    <w:div w:id="1440947128">
                      <w:marLeft w:val="0"/>
                      <w:marRight w:val="0"/>
                      <w:marTop w:val="0"/>
                      <w:marBottom w:val="0"/>
                      <w:divBdr>
                        <w:top w:val="none" w:sz="0" w:space="0" w:color="auto"/>
                        <w:left w:val="none" w:sz="0" w:space="0" w:color="auto"/>
                        <w:bottom w:val="none" w:sz="0" w:space="0" w:color="auto"/>
                        <w:right w:val="none" w:sz="0" w:space="0" w:color="auto"/>
                      </w:divBdr>
                      <w:divsChild>
                        <w:div w:id="1591623833">
                          <w:marLeft w:val="0"/>
                          <w:marRight w:val="0"/>
                          <w:marTop w:val="0"/>
                          <w:marBottom w:val="0"/>
                          <w:divBdr>
                            <w:top w:val="none" w:sz="0" w:space="0" w:color="auto"/>
                            <w:left w:val="none" w:sz="0" w:space="0" w:color="auto"/>
                            <w:bottom w:val="none" w:sz="0" w:space="0" w:color="auto"/>
                            <w:right w:val="none" w:sz="0" w:space="0" w:color="auto"/>
                          </w:divBdr>
                          <w:divsChild>
                            <w:div w:id="1856075059">
                              <w:marLeft w:val="0"/>
                              <w:marRight w:val="0"/>
                              <w:marTop w:val="0"/>
                              <w:marBottom w:val="0"/>
                              <w:divBdr>
                                <w:top w:val="none" w:sz="0" w:space="0" w:color="auto"/>
                                <w:left w:val="none" w:sz="0" w:space="0" w:color="auto"/>
                                <w:bottom w:val="none" w:sz="0" w:space="0" w:color="auto"/>
                                <w:right w:val="none" w:sz="0" w:space="0" w:color="auto"/>
                              </w:divBdr>
                              <w:divsChild>
                                <w:div w:id="829448102">
                                  <w:marLeft w:val="0"/>
                                  <w:marRight w:val="0"/>
                                  <w:marTop w:val="0"/>
                                  <w:marBottom w:val="0"/>
                                  <w:divBdr>
                                    <w:top w:val="none" w:sz="0" w:space="0" w:color="auto"/>
                                    <w:left w:val="none" w:sz="0" w:space="0" w:color="auto"/>
                                    <w:bottom w:val="none" w:sz="0" w:space="0" w:color="auto"/>
                                    <w:right w:val="none" w:sz="0" w:space="0" w:color="auto"/>
                                  </w:divBdr>
                                </w:div>
                                <w:div w:id="38738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9485333">
                  <w:marLeft w:val="0"/>
                  <w:marRight w:val="0"/>
                  <w:marTop w:val="0"/>
                  <w:marBottom w:val="0"/>
                  <w:divBdr>
                    <w:top w:val="none" w:sz="0" w:space="0" w:color="auto"/>
                    <w:left w:val="none" w:sz="0" w:space="0" w:color="auto"/>
                    <w:bottom w:val="none" w:sz="0" w:space="0" w:color="auto"/>
                    <w:right w:val="none" w:sz="0" w:space="0" w:color="auto"/>
                  </w:divBdr>
                  <w:divsChild>
                    <w:div w:id="972321831">
                      <w:marLeft w:val="0"/>
                      <w:marRight w:val="0"/>
                      <w:marTop w:val="0"/>
                      <w:marBottom w:val="0"/>
                      <w:divBdr>
                        <w:top w:val="none" w:sz="0" w:space="0" w:color="auto"/>
                        <w:left w:val="none" w:sz="0" w:space="0" w:color="auto"/>
                        <w:bottom w:val="none" w:sz="0" w:space="0" w:color="auto"/>
                        <w:right w:val="none" w:sz="0" w:space="0" w:color="auto"/>
                      </w:divBdr>
                      <w:divsChild>
                        <w:div w:id="1209219317">
                          <w:marLeft w:val="0"/>
                          <w:marRight w:val="0"/>
                          <w:marTop w:val="0"/>
                          <w:marBottom w:val="0"/>
                          <w:divBdr>
                            <w:top w:val="none" w:sz="0" w:space="0" w:color="auto"/>
                            <w:left w:val="none" w:sz="0" w:space="0" w:color="auto"/>
                            <w:bottom w:val="none" w:sz="0" w:space="0" w:color="auto"/>
                            <w:right w:val="none" w:sz="0" w:space="0" w:color="auto"/>
                          </w:divBdr>
                          <w:divsChild>
                            <w:div w:id="790173659">
                              <w:marLeft w:val="0"/>
                              <w:marRight w:val="0"/>
                              <w:marTop w:val="0"/>
                              <w:marBottom w:val="0"/>
                              <w:divBdr>
                                <w:top w:val="none" w:sz="0" w:space="0" w:color="auto"/>
                                <w:left w:val="none" w:sz="0" w:space="0" w:color="auto"/>
                                <w:bottom w:val="none" w:sz="0" w:space="0" w:color="auto"/>
                                <w:right w:val="none" w:sz="0" w:space="0" w:color="auto"/>
                              </w:divBdr>
                              <w:divsChild>
                                <w:div w:id="1911112998">
                                  <w:marLeft w:val="0"/>
                                  <w:marRight w:val="0"/>
                                  <w:marTop w:val="0"/>
                                  <w:marBottom w:val="0"/>
                                  <w:divBdr>
                                    <w:top w:val="none" w:sz="0" w:space="0" w:color="auto"/>
                                    <w:left w:val="none" w:sz="0" w:space="0" w:color="auto"/>
                                    <w:bottom w:val="none" w:sz="0" w:space="0" w:color="auto"/>
                                    <w:right w:val="none" w:sz="0" w:space="0" w:color="auto"/>
                                  </w:divBdr>
                                </w:div>
                                <w:div w:id="167884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9505529">
                  <w:marLeft w:val="0"/>
                  <w:marRight w:val="0"/>
                  <w:marTop w:val="0"/>
                  <w:marBottom w:val="0"/>
                  <w:divBdr>
                    <w:top w:val="none" w:sz="0" w:space="0" w:color="auto"/>
                    <w:left w:val="none" w:sz="0" w:space="0" w:color="auto"/>
                    <w:bottom w:val="none" w:sz="0" w:space="0" w:color="auto"/>
                    <w:right w:val="none" w:sz="0" w:space="0" w:color="auto"/>
                  </w:divBdr>
                  <w:divsChild>
                    <w:div w:id="1679113816">
                      <w:marLeft w:val="0"/>
                      <w:marRight w:val="0"/>
                      <w:marTop w:val="0"/>
                      <w:marBottom w:val="0"/>
                      <w:divBdr>
                        <w:top w:val="none" w:sz="0" w:space="0" w:color="auto"/>
                        <w:left w:val="none" w:sz="0" w:space="0" w:color="auto"/>
                        <w:bottom w:val="none" w:sz="0" w:space="0" w:color="auto"/>
                        <w:right w:val="none" w:sz="0" w:space="0" w:color="auto"/>
                      </w:divBdr>
                      <w:divsChild>
                        <w:div w:id="941031867">
                          <w:marLeft w:val="0"/>
                          <w:marRight w:val="0"/>
                          <w:marTop w:val="0"/>
                          <w:marBottom w:val="0"/>
                          <w:divBdr>
                            <w:top w:val="none" w:sz="0" w:space="0" w:color="auto"/>
                            <w:left w:val="none" w:sz="0" w:space="0" w:color="auto"/>
                            <w:bottom w:val="none" w:sz="0" w:space="0" w:color="auto"/>
                            <w:right w:val="none" w:sz="0" w:space="0" w:color="auto"/>
                          </w:divBdr>
                          <w:divsChild>
                            <w:div w:id="1381056568">
                              <w:marLeft w:val="0"/>
                              <w:marRight w:val="0"/>
                              <w:marTop w:val="0"/>
                              <w:marBottom w:val="0"/>
                              <w:divBdr>
                                <w:top w:val="none" w:sz="0" w:space="0" w:color="auto"/>
                                <w:left w:val="none" w:sz="0" w:space="0" w:color="auto"/>
                                <w:bottom w:val="none" w:sz="0" w:space="0" w:color="auto"/>
                                <w:right w:val="none" w:sz="0" w:space="0" w:color="auto"/>
                              </w:divBdr>
                              <w:divsChild>
                                <w:div w:id="775488424">
                                  <w:marLeft w:val="0"/>
                                  <w:marRight w:val="0"/>
                                  <w:marTop w:val="0"/>
                                  <w:marBottom w:val="0"/>
                                  <w:divBdr>
                                    <w:top w:val="none" w:sz="0" w:space="0" w:color="auto"/>
                                    <w:left w:val="none" w:sz="0" w:space="0" w:color="auto"/>
                                    <w:bottom w:val="none" w:sz="0" w:space="0" w:color="auto"/>
                                    <w:right w:val="none" w:sz="0" w:space="0" w:color="auto"/>
                                  </w:divBdr>
                                </w:div>
                                <w:div w:id="140614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0685108">
                  <w:marLeft w:val="0"/>
                  <w:marRight w:val="0"/>
                  <w:marTop w:val="0"/>
                  <w:marBottom w:val="0"/>
                  <w:divBdr>
                    <w:top w:val="none" w:sz="0" w:space="0" w:color="auto"/>
                    <w:left w:val="none" w:sz="0" w:space="0" w:color="auto"/>
                    <w:bottom w:val="none" w:sz="0" w:space="0" w:color="auto"/>
                    <w:right w:val="none" w:sz="0" w:space="0" w:color="auto"/>
                  </w:divBdr>
                  <w:divsChild>
                    <w:div w:id="894589918">
                      <w:marLeft w:val="0"/>
                      <w:marRight w:val="0"/>
                      <w:marTop w:val="0"/>
                      <w:marBottom w:val="0"/>
                      <w:divBdr>
                        <w:top w:val="none" w:sz="0" w:space="0" w:color="auto"/>
                        <w:left w:val="none" w:sz="0" w:space="0" w:color="auto"/>
                        <w:bottom w:val="none" w:sz="0" w:space="0" w:color="auto"/>
                        <w:right w:val="none" w:sz="0" w:space="0" w:color="auto"/>
                      </w:divBdr>
                      <w:divsChild>
                        <w:div w:id="325596912">
                          <w:marLeft w:val="0"/>
                          <w:marRight w:val="0"/>
                          <w:marTop w:val="0"/>
                          <w:marBottom w:val="0"/>
                          <w:divBdr>
                            <w:top w:val="none" w:sz="0" w:space="0" w:color="auto"/>
                            <w:left w:val="none" w:sz="0" w:space="0" w:color="auto"/>
                            <w:bottom w:val="none" w:sz="0" w:space="0" w:color="auto"/>
                            <w:right w:val="none" w:sz="0" w:space="0" w:color="auto"/>
                          </w:divBdr>
                          <w:divsChild>
                            <w:div w:id="1731075385">
                              <w:marLeft w:val="0"/>
                              <w:marRight w:val="0"/>
                              <w:marTop w:val="0"/>
                              <w:marBottom w:val="0"/>
                              <w:divBdr>
                                <w:top w:val="none" w:sz="0" w:space="0" w:color="auto"/>
                                <w:left w:val="none" w:sz="0" w:space="0" w:color="auto"/>
                                <w:bottom w:val="none" w:sz="0" w:space="0" w:color="auto"/>
                                <w:right w:val="none" w:sz="0" w:space="0" w:color="auto"/>
                              </w:divBdr>
                              <w:divsChild>
                                <w:div w:id="1419860994">
                                  <w:marLeft w:val="0"/>
                                  <w:marRight w:val="0"/>
                                  <w:marTop w:val="0"/>
                                  <w:marBottom w:val="0"/>
                                  <w:divBdr>
                                    <w:top w:val="none" w:sz="0" w:space="0" w:color="auto"/>
                                    <w:left w:val="none" w:sz="0" w:space="0" w:color="auto"/>
                                    <w:bottom w:val="none" w:sz="0" w:space="0" w:color="auto"/>
                                    <w:right w:val="none" w:sz="0" w:space="0" w:color="auto"/>
                                  </w:divBdr>
                                </w:div>
                                <w:div w:id="159470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1772971">
                  <w:marLeft w:val="0"/>
                  <w:marRight w:val="0"/>
                  <w:marTop w:val="0"/>
                  <w:marBottom w:val="0"/>
                  <w:divBdr>
                    <w:top w:val="none" w:sz="0" w:space="0" w:color="auto"/>
                    <w:left w:val="none" w:sz="0" w:space="0" w:color="auto"/>
                    <w:bottom w:val="none" w:sz="0" w:space="0" w:color="auto"/>
                    <w:right w:val="none" w:sz="0" w:space="0" w:color="auto"/>
                  </w:divBdr>
                  <w:divsChild>
                    <w:div w:id="538669297">
                      <w:marLeft w:val="0"/>
                      <w:marRight w:val="0"/>
                      <w:marTop w:val="0"/>
                      <w:marBottom w:val="0"/>
                      <w:divBdr>
                        <w:top w:val="none" w:sz="0" w:space="0" w:color="auto"/>
                        <w:left w:val="none" w:sz="0" w:space="0" w:color="auto"/>
                        <w:bottom w:val="none" w:sz="0" w:space="0" w:color="auto"/>
                        <w:right w:val="none" w:sz="0" w:space="0" w:color="auto"/>
                      </w:divBdr>
                      <w:divsChild>
                        <w:div w:id="280654493">
                          <w:marLeft w:val="0"/>
                          <w:marRight w:val="0"/>
                          <w:marTop w:val="0"/>
                          <w:marBottom w:val="0"/>
                          <w:divBdr>
                            <w:top w:val="none" w:sz="0" w:space="0" w:color="auto"/>
                            <w:left w:val="none" w:sz="0" w:space="0" w:color="auto"/>
                            <w:bottom w:val="none" w:sz="0" w:space="0" w:color="auto"/>
                            <w:right w:val="none" w:sz="0" w:space="0" w:color="auto"/>
                          </w:divBdr>
                          <w:divsChild>
                            <w:div w:id="401029398">
                              <w:marLeft w:val="0"/>
                              <w:marRight w:val="0"/>
                              <w:marTop w:val="0"/>
                              <w:marBottom w:val="0"/>
                              <w:divBdr>
                                <w:top w:val="none" w:sz="0" w:space="0" w:color="auto"/>
                                <w:left w:val="none" w:sz="0" w:space="0" w:color="auto"/>
                                <w:bottom w:val="none" w:sz="0" w:space="0" w:color="auto"/>
                                <w:right w:val="none" w:sz="0" w:space="0" w:color="auto"/>
                              </w:divBdr>
                              <w:divsChild>
                                <w:div w:id="1236861385">
                                  <w:marLeft w:val="0"/>
                                  <w:marRight w:val="0"/>
                                  <w:marTop w:val="0"/>
                                  <w:marBottom w:val="0"/>
                                  <w:divBdr>
                                    <w:top w:val="none" w:sz="0" w:space="0" w:color="auto"/>
                                    <w:left w:val="none" w:sz="0" w:space="0" w:color="auto"/>
                                    <w:bottom w:val="none" w:sz="0" w:space="0" w:color="auto"/>
                                    <w:right w:val="none" w:sz="0" w:space="0" w:color="auto"/>
                                  </w:divBdr>
                                </w:div>
                                <w:div w:id="6095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9896320">
                  <w:marLeft w:val="0"/>
                  <w:marRight w:val="0"/>
                  <w:marTop w:val="0"/>
                  <w:marBottom w:val="0"/>
                  <w:divBdr>
                    <w:top w:val="none" w:sz="0" w:space="0" w:color="auto"/>
                    <w:left w:val="none" w:sz="0" w:space="0" w:color="auto"/>
                    <w:bottom w:val="none" w:sz="0" w:space="0" w:color="auto"/>
                    <w:right w:val="none" w:sz="0" w:space="0" w:color="auto"/>
                  </w:divBdr>
                  <w:divsChild>
                    <w:div w:id="584846157">
                      <w:marLeft w:val="0"/>
                      <w:marRight w:val="0"/>
                      <w:marTop w:val="0"/>
                      <w:marBottom w:val="0"/>
                      <w:divBdr>
                        <w:top w:val="none" w:sz="0" w:space="0" w:color="auto"/>
                        <w:left w:val="none" w:sz="0" w:space="0" w:color="auto"/>
                        <w:bottom w:val="none" w:sz="0" w:space="0" w:color="auto"/>
                        <w:right w:val="none" w:sz="0" w:space="0" w:color="auto"/>
                      </w:divBdr>
                      <w:divsChild>
                        <w:div w:id="324944838">
                          <w:marLeft w:val="0"/>
                          <w:marRight w:val="0"/>
                          <w:marTop w:val="0"/>
                          <w:marBottom w:val="0"/>
                          <w:divBdr>
                            <w:top w:val="none" w:sz="0" w:space="0" w:color="auto"/>
                            <w:left w:val="none" w:sz="0" w:space="0" w:color="auto"/>
                            <w:bottom w:val="none" w:sz="0" w:space="0" w:color="auto"/>
                            <w:right w:val="none" w:sz="0" w:space="0" w:color="auto"/>
                          </w:divBdr>
                          <w:divsChild>
                            <w:div w:id="146018392">
                              <w:marLeft w:val="0"/>
                              <w:marRight w:val="0"/>
                              <w:marTop w:val="0"/>
                              <w:marBottom w:val="0"/>
                              <w:divBdr>
                                <w:top w:val="none" w:sz="0" w:space="0" w:color="auto"/>
                                <w:left w:val="none" w:sz="0" w:space="0" w:color="auto"/>
                                <w:bottom w:val="none" w:sz="0" w:space="0" w:color="auto"/>
                                <w:right w:val="none" w:sz="0" w:space="0" w:color="auto"/>
                              </w:divBdr>
                              <w:divsChild>
                                <w:div w:id="1041321823">
                                  <w:marLeft w:val="0"/>
                                  <w:marRight w:val="0"/>
                                  <w:marTop w:val="0"/>
                                  <w:marBottom w:val="0"/>
                                  <w:divBdr>
                                    <w:top w:val="none" w:sz="0" w:space="0" w:color="auto"/>
                                    <w:left w:val="none" w:sz="0" w:space="0" w:color="auto"/>
                                    <w:bottom w:val="none" w:sz="0" w:space="0" w:color="auto"/>
                                    <w:right w:val="none" w:sz="0" w:space="0" w:color="auto"/>
                                  </w:divBdr>
                                </w:div>
                                <w:div w:id="142161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860092">
                  <w:marLeft w:val="0"/>
                  <w:marRight w:val="0"/>
                  <w:marTop w:val="0"/>
                  <w:marBottom w:val="0"/>
                  <w:divBdr>
                    <w:top w:val="none" w:sz="0" w:space="0" w:color="auto"/>
                    <w:left w:val="none" w:sz="0" w:space="0" w:color="auto"/>
                    <w:bottom w:val="none" w:sz="0" w:space="0" w:color="auto"/>
                    <w:right w:val="none" w:sz="0" w:space="0" w:color="auto"/>
                  </w:divBdr>
                  <w:divsChild>
                    <w:div w:id="1192962488">
                      <w:marLeft w:val="0"/>
                      <w:marRight w:val="0"/>
                      <w:marTop w:val="0"/>
                      <w:marBottom w:val="0"/>
                      <w:divBdr>
                        <w:top w:val="none" w:sz="0" w:space="0" w:color="auto"/>
                        <w:left w:val="none" w:sz="0" w:space="0" w:color="auto"/>
                        <w:bottom w:val="none" w:sz="0" w:space="0" w:color="auto"/>
                        <w:right w:val="none" w:sz="0" w:space="0" w:color="auto"/>
                      </w:divBdr>
                      <w:divsChild>
                        <w:div w:id="2052532986">
                          <w:marLeft w:val="0"/>
                          <w:marRight w:val="0"/>
                          <w:marTop w:val="0"/>
                          <w:marBottom w:val="0"/>
                          <w:divBdr>
                            <w:top w:val="none" w:sz="0" w:space="0" w:color="auto"/>
                            <w:left w:val="none" w:sz="0" w:space="0" w:color="auto"/>
                            <w:bottom w:val="none" w:sz="0" w:space="0" w:color="auto"/>
                            <w:right w:val="none" w:sz="0" w:space="0" w:color="auto"/>
                          </w:divBdr>
                          <w:divsChild>
                            <w:div w:id="981344428">
                              <w:marLeft w:val="0"/>
                              <w:marRight w:val="0"/>
                              <w:marTop w:val="0"/>
                              <w:marBottom w:val="0"/>
                              <w:divBdr>
                                <w:top w:val="none" w:sz="0" w:space="0" w:color="auto"/>
                                <w:left w:val="none" w:sz="0" w:space="0" w:color="auto"/>
                                <w:bottom w:val="none" w:sz="0" w:space="0" w:color="auto"/>
                                <w:right w:val="none" w:sz="0" w:space="0" w:color="auto"/>
                              </w:divBdr>
                              <w:divsChild>
                                <w:div w:id="709766764">
                                  <w:marLeft w:val="0"/>
                                  <w:marRight w:val="0"/>
                                  <w:marTop w:val="0"/>
                                  <w:marBottom w:val="0"/>
                                  <w:divBdr>
                                    <w:top w:val="none" w:sz="0" w:space="0" w:color="auto"/>
                                    <w:left w:val="none" w:sz="0" w:space="0" w:color="auto"/>
                                    <w:bottom w:val="none" w:sz="0" w:space="0" w:color="auto"/>
                                    <w:right w:val="none" w:sz="0" w:space="0" w:color="auto"/>
                                  </w:divBdr>
                                </w:div>
                                <w:div w:id="14578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077376">
          <w:marLeft w:val="0"/>
          <w:marRight w:val="0"/>
          <w:marTop w:val="0"/>
          <w:marBottom w:val="0"/>
          <w:divBdr>
            <w:top w:val="none" w:sz="0" w:space="0" w:color="auto"/>
            <w:left w:val="none" w:sz="0" w:space="0" w:color="auto"/>
            <w:bottom w:val="none" w:sz="0" w:space="0" w:color="auto"/>
            <w:right w:val="none" w:sz="0" w:space="0" w:color="auto"/>
          </w:divBdr>
          <w:divsChild>
            <w:div w:id="1501852603">
              <w:marLeft w:val="0"/>
              <w:marRight w:val="0"/>
              <w:marTop w:val="0"/>
              <w:marBottom w:val="0"/>
              <w:divBdr>
                <w:top w:val="none" w:sz="0" w:space="0" w:color="auto"/>
                <w:left w:val="none" w:sz="0" w:space="0" w:color="auto"/>
                <w:bottom w:val="none" w:sz="0" w:space="0" w:color="auto"/>
                <w:right w:val="none" w:sz="0" w:space="0" w:color="auto"/>
              </w:divBdr>
              <w:divsChild>
                <w:div w:id="1719666888">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185874371">
      <w:bodyDiv w:val="1"/>
      <w:marLeft w:val="0"/>
      <w:marRight w:val="0"/>
      <w:marTop w:val="0"/>
      <w:marBottom w:val="0"/>
      <w:divBdr>
        <w:top w:val="none" w:sz="0" w:space="0" w:color="auto"/>
        <w:left w:val="none" w:sz="0" w:space="0" w:color="auto"/>
        <w:bottom w:val="none" w:sz="0" w:space="0" w:color="auto"/>
        <w:right w:val="none" w:sz="0" w:space="0" w:color="auto"/>
      </w:divBdr>
    </w:div>
    <w:div w:id="310719402">
      <w:bodyDiv w:val="1"/>
      <w:marLeft w:val="0"/>
      <w:marRight w:val="0"/>
      <w:marTop w:val="0"/>
      <w:marBottom w:val="0"/>
      <w:divBdr>
        <w:top w:val="none" w:sz="0" w:space="0" w:color="auto"/>
        <w:left w:val="none" w:sz="0" w:space="0" w:color="auto"/>
        <w:bottom w:val="none" w:sz="0" w:space="0" w:color="auto"/>
        <w:right w:val="none" w:sz="0" w:space="0" w:color="auto"/>
      </w:divBdr>
    </w:div>
    <w:div w:id="791748033">
      <w:bodyDiv w:val="1"/>
      <w:marLeft w:val="0"/>
      <w:marRight w:val="0"/>
      <w:marTop w:val="0"/>
      <w:marBottom w:val="0"/>
      <w:divBdr>
        <w:top w:val="none" w:sz="0" w:space="0" w:color="auto"/>
        <w:left w:val="none" w:sz="0" w:space="0" w:color="auto"/>
        <w:bottom w:val="none" w:sz="0" w:space="0" w:color="auto"/>
        <w:right w:val="none" w:sz="0" w:space="0" w:color="auto"/>
      </w:divBdr>
    </w:div>
    <w:div w:id="812139057">
      <w:bodyDiv w:val="1"/>
      <w:marLeft w:val="0"/>
      <w:marRight w:val="0"/>
      <w:marTop w:val="0"/>
      <w:marBottom w:val="0"/>
      <w:divBdr>
        <w:top w:val="none" w:sz="0" w:space="0" w:color="auto"/>
        <w:left w:val="none" w:sz="0" w:space="0" w:color="auto"/>
        <w:bottom w:val="none" w:sz="0" w:space="0" w:color="auto"/>
        <w:right w:val="none" w:sz="0" w:space="0" w:color="auto"/>
      </w:divBdr>
    </w:div>
    <w:div w:id="1436173638">
      <w:bodyDiv w:val="1"/>
      <w:marLeft w:val="0"/>
      <w:marRight w:val="0"/>
      <w:marTop w:val="0"/>
      <w:marBottom w:val="0"/>
      <w:divBdr>
        <w:top w:val="none" w:sz="0" w:space="0" w:color="auto"/>
        <w:left w:val="none" w:sz="0" w:space="0" w:color="auto"/>
        <w:bottom w:val="none" w:sz="0" w:space="0" w:color="auto"/>
        <w:right w:val="none" w:sz="0" w:space="0" w:color="auto"/>
      </w:divBdr>
      <w:divsChild>
        <w:div w:id="1633055295">
          <w:blockQuote w:val="1"/>
          <w:marLeft w:val="720"/>
          <w:marRight w:val="720"/>
          <w:marTop w:val="100"/>
          <w:marBottom w:val="100"/>
          <w:divBdr>
            <w:top w:val="none" w:sz="0" w:space="0" w:color="auto"/>
            <w:left w:val="none" w:sz="0" w:space="0" w:color="auto"/>
            <w:bottom w:val="none" w:sz="0" w:space="0" w:color="auto"/>
            <w:right w:val="none" w:sz="0" w:space="0" w:color="auto"/>
          </w:divBdr>
        </w:div>
        <w:div w:id="276648263">
          <w:blockQuote w:val="1"/>
          <w:marLeft w:val="720"/>
          <w:marRight w:val="720"/>
          <w:marTop w:val="100"/>
          <w:marBottom w:val="100"/>
          <w:divBdr>
            <w:top w:val="none" w:sz="0" w:space="0" w:color="auto"/>
            <w:left w:val="none" w:sz="0" w:space="0" w:color="auto"/>
            <w:bottom w:val="none" w:sz="0" w:space="0" w:color="auto"/>
            <w:right w:val="none" w:sz="0" w:space="0" w:color="auto"/>
          </w:divBdr>
        </w:div>
        <w:div w:id="556628774">
          <w:blockQuote w:val="1"/>
          <w:marLeft w:val="720"/>
          <w:marRight w:val="720"/>
          <w:marTop w:val="100"/>
          <w:marBottom w:val="100"/>
          <w:divBdr>
            <w:top w:val="none" w:sz="0" w:space="0" w:color="auto"/>
            <w:left w:val="none" w:sz="0" w:space="0" w:color="auto"/>
            <w:bottom w:val="none" w:sz="0" w:space="0" w:color="auto"/>
            <w:right w:val="none" w:sz="0" w:space="0" w:color="auto"/>
          </w:divBdr>
        </w:div>
        <w:div w:id="36203412">
          <w:blockQuote w:val="1"/>
          <w:marLeft w:val="720"/>
          <w:marRight w:val="720"/>
          <w:marTop w:val="100"/>
          <w:marBottom w:val="100"/>
          <w:divBdr>
            <w:top w:val="none" w:sz="0" w:space="0" w:color="auto"/>
            <w:left w:val="none" w:sz="0" w:space="0" w:color="auto"/>
            <w:bottom w:val="none" w:sz="0" w:space="0" w:color="auto"/>
            <w:right w:val="none" w:sz="0" w:space="0" w:color="auto"/>
          </w:divBdr>
        </w:div>
        <w:div w:id="981226663">
          <w:blockQuote w:val="1"/>
          <w:marLeft w:val="720"/>
          <w:marRight w:val="720"/>
          <w:marTop w:val="100"/>
          <w:marBottom w:val="100"/>
          <w:divBdr>
            <w:top w:val="none" w:sz="0" w:space="0" w:color="auto"/>
            <w:left w:val="none" w:sz="0" w:space="0" w:color="auto"/>
            <w:bottom w:val="none" w:sz="0" w:space="0" w:color="auto"/>
            <w:right w:val="none" w:sz="0" w:space="0" w:color="auto"/>
          </w:divBdr>
        </w:div>
        <w:div w:id="929853195">
          <w:blockQuote w:val="1"/>
          <w:marLeft w:val="720"/>
          <w:marRight w:val="720"/>
          <w:marTop w:val="100"/>
          <w:marBottom w:val="100"/>
          <w:divBdr>
            <w:top w:val="none" w:sz="0" w:space="0" w:color="auto"/>
            <w:left w:val="none" w:sz="0" w:space="0" w:color="auto"/>
            <w:bottom w:val="none" w:sz="0" w:space="0" w:color="auto"/>
            <w:right w:val="none" w:sz="0" w:space="0" w:color="auto"/>
          </w:divBdr>
        </w:div>
        <w:div w:id="270937123">
          <w:blockQuote w:val="1"/>
          <w:marLeft w:val="720"/>
          <w:marRight w:val="720"/>
          <w:marTop w:val="100"/>
          <w:marBottom w:val="100"/>
          <w:divBdr>
            <w:top w:val="none" w:sz="0" w:space="0" w:color="auto"/>
            <w:left w:val="none" w:sz="0" w:space="0" w:color="auto"/>
            <w:bottom w:val="none" w:sz="0" w:space="0" w:color="auto"/>
            <w:right w:val="none" w:sz="0" w:space="0" w:color="auto"/>
          </w:divBdr>
        </w:div>
        <w:div w:id="11777710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99390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cretariasenado.gov.co/senado/basedoc/acto_legislativo_02_2009.htm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BFA7FF-2662-47E9-B446-FAEAF32FA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4756</Words>
  <Characters>27400</Characters>
  <Application>Microsoft Office Word</Application>
  <DocSecurity>0</DocSecurity>
  <Lines>456</Lines>
  <Paragraphs>150</Paragraphs>
  <ScaleCrop>false</ScaleCrop>
  <HeadingPairs>
    <vt:vector size="2" baseType="variant">
      <vt:variant>
        <vt:lpstr>Título</vt:lpstr>
      </vt:variant>
      <vt:variant>
        <vt:i4>1</vt:i4>
      </vt:variant>
    </vt:vector>
  </HeadingPairs>
  <TitlesOfParts>
    <vt:vector size="1" baseType="lpstr">
      <vt:lpstr/>
    </vt:vector>
  </TitlesOfParts>
  <Company>Alcaldía Municipal de Cajicá</Company>
  <LinksUpToDate>false</LinksUpToDate>
  <CharactersWithSpaces>32006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Lilian Bibiana Bello Villarraga</dc:creator>
  <cp:lastModifiedBy>Hugo Palacios</cp:lastModifiedBy>
  <cp:revision>2</cp:revision>
  <cp:lastPrinted>2024-12-02T22:22:00Z</cp:lastPrinted>
  <dcterms:created xsi:type="dcterms:W3CDTF">2026-06-30T21:17:00Z</dcterms:created>
  <dcterms:modified xsi:type="dcterms:W3CDTF">2026-06-30T21:17:00Z</dcterms:modified>
</cp:coreProperties>
</file>